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footnotes.xml" ContentType="application/vnd.openxmlformats-officedocument.wordprocessingml.foot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A96BA5" w14:textId="30917178" w:rsidR="008D23A7" w:rsidRPr="00583E0B" w:rsidRDefault="008D23A7" w:rsidP="009A7D95">
      <w:pPr>
        <w:widowControl/>
        <w:spacing w:before="120" w:after="120"/>
      </w:pPr>
      <w:r>
        <w:rPr>
          <w:sz w:val="20"/>
          <w:szCs w:val="20"/>
        </w:rPr>
        <w:t>(Nur für ISV-Lizenzgebührenprogramm)</w:t>
      </w:r>
    </w:p>
    <w:tbl>
      <w:tblPr>
        <w:tblW w:w="9540" w:type="dxa"/>
        <w:tblLook w:val="01E0" w:firstRow="1" w:lastRow="1" w:firstColumn="1" w:lastColumn="1" w:noHBand="0" w:noVBand="0"/>
      </w:tblPr>
      <w:tblGrid>
        <w:gridCol w:w="9540"/>
      </w:tblGrid>
      <w:tr w:rsidR="008D23A7" w:rsidRPr="00B66611" w14:paraId="59C95BD4" w14:textId="77777777" w:rsidTr="00991585">
        <w:trPr>
          <w:trHeight w:val="648"/>
        </w:trPr>
        <w:tc>
          <w:tcPr>
            <w:tcW w:w="9540" w:type="dxa"/>
            <w:shd w:val="clear" w:color="auto" w:fill="000080"/>
            <w:vAlign w:val="center"/>
            <w:hideMark/>
          </w:tcPr>
          <w:p w14:paraId="74938104" w14:textId="79E20B47" w:rsidR="008D23A7" w:rsidRPr="00B66611" w:rsidRDefault="008D23A7" w:rsidP="002953C9">
            <w:pPr>
              <w:widowControl/>
              <w:spacing w:before="120" w:after="120"/>
              <w:rPr>
                <w:b/>
                <w:bCs/>
                <w:szCs w:val="20"/>
                <w:lang w:val="en-US" w:eastAsia="zh-CN"/>
              </w:rPr>
            </w:pPr>
            <w:bookmarkStart w:id="0" w:name="_Toc104876522"/>
            <w:bookmarkStart w:id="1" w:name="_Toc116219487"/>
            <w:r w:rsidRPr="00B66611">
              <w:rPr>
                <w:b/>
                <w:bCs/>
                <w:szCs w:val="20"/>
                <w:lang w:val="en-US"/>
              </w:rPr>
              <w:t>Microsoft</w:t>
            </w:r>
            <w:r w:rsidRPr="00B66611">
              <w:rPr>
                <w:b/>
                <w:bCs/>
                <w:szCs w:val="20"/>
                <w:vertAlign w:val="superscript"/>
                <w:lang w:val="en-US"/>
              </w:rPr>
              <w:t>®</w:t>
            </w:r>
            <w:r w:rsidRPr="00B66611">
              <w:rPr>
                <w:b/>
                <w:bCs/>
                <w:szCs w:val="20"/>
                <w:lang w:val="en-US"/>
              </w:rPr>
              <w:t xml:space="preserve"> </w:t>
            </w:r>
            <w:bookmarkStart w:id="2" w:name="_Hlk524083377"/>
            <w:bookmarkEnd w:id="0"/>
            <w:bookmarkEnd w:id="1"/>
            <w:r w:rsidR="00B66611" w:rsidRPr="00B66611">
              <w:rPr>
                <w:b/>
                <w:bCs/>
                <w:szCs w:val="20"/>
                <w:lang w:val="en-US"/>
              </w:rPr>
              <w:t>Powe</w:t>
            </w:r>
            <w:r w:rsidR="00B66611">
              <w:rPr>
                <w:b/>
                <w:bCs/>
                <w:szCs w:val="20"/>
                <w:lang w:val="en-US"/>
              </w:rPr>
              <w:t>rPoint</w:t>
            </w:r>
            <w:r w:rsidRPr="00B66611">
              <w:rPr>
                <w:b/>
                <w:bCs/>
                <w:szCs w:val="20"/>
                <w:vertAlign w:val="superscript"/>
                <w:lang w:val="en-US"/>
              </w:rPr>
              <w:t xml:space="preserve">® </w:t>
            </w:r>
            <w:bookmarkEnd w:id="2"/>
            <w:r w:rsidRPr="00B66611">
              <w:rPr>
                <w:b/>
                <w:bCs/>
                <w:szCs w:val="20"/>
                <w:lang w:val="en-US"/>
              </w:rPr>
              <w:t xml:space="preserve">2019 </w:t>
            </w:r>
            <w:r>
              <w:rPr>
                <w:b/>
                <w:bCs/>
                <w:szCs w:val="20"/>
                <w:u w:val="single"/>
              </w:rPr>
              <w:fldChar w:fldCharType="begin">
                <w:ffData>
                  <w:name w:val="Text33"/>
                  <w:enabled/>
                  <w:calcOnExit w:val="0"/>
                  <w:textInput/>
                </w:ffData>
              </w:fldChar>
            </w:r>
            <w:bookmarkStart w:id="3" w:name="Text33"/>
            <w:r w:rsidR="00F268AF" w:rsidRPr="00B66611">
              <w:rPr>
                <w:b/>
                <w:bCs/>
                <w:szCs w:val="20"/>
                <w:u w:val="single"/>
                <w:lang w:val="en-US"/>
              </w:rPr>
              <w:instrText xml:space="preserve"> FORMTEXT </w:instrText>
            </w:r>
            <w:r>
              <w:rPr>
                <w:b/>
                <w:bCs/>
                <w:szCs w:val="20"/>
                <w:u w:val="single"/>
              </w:rPr>
            </w:r>
            <w:r>
              <w:rPr>
                <w:b/>
                <w:bCs/>
                <w:szCs w:val="20"/>
                <w:u w:val="single"/>
              </w:rPr>
              <w:fldChar w:fldCharType="separate"/>
            </w:r>
            <w:bookmarkStart w:id="4" w:name="_GoBack"/>
            <w:r w:rsidR="00323C54">
              <w:rPr>
                <w:b/>
                <w:bCs/>
                <w:noProof/>
                <w:szCs w:val="20"/>
                <w:u w:val="single"/>
              </w:rPr>
              <w:t> </w:t>
            </w:r>
            <w:r w:rsidR="00323C54">
              <w:rPr>
                <w:b/>
                <w:bCs/>
                <w:noProof/>
                <w:szCs w:val="20"/>
                <w:u w:val="single"/>
              </w:rPr>
              <w:t> </w:t>
            </w:r>
            <w:r w:rsidR="00323C54">
              <w:rPr>
                <w:b/>
                <w:bCs/>
                <w:noProof/>
                <w:szCs w:val="20"/>
                <w:u w:val="single"/>
              </w:rPr>
              <w:t> </w:t>
            </w:r>
            <w:r w:rsidR="00323C54">
              <w:rPr>
                <w:b/>
                <w:bCs/>
                <w:noProof/>
                <w:szCs w:val="20"/>
                <w:u w:val="single"/>
              </w:rPr>
              <w:t> </w:t>
            </w:r>
            <w:r w:rsidR="00323C54">
              <w:rPr>
                <w:b/>
                <w:bCs/>
                <w:noProof/>
                <w:szCs w:val="20"/>
                <w:u w:val="single"/>
              </w:rPr>
              <w:t> </w:t>
            </w:r>
            <w:bookmarkEnd w:id="4"/>
            <w:r>
              <w:fldChar w:fldCharType="end"/>
            </w:r>
            <w:bookmarkEnd w:id="3"/>
            <w:r w:rsidR="002953C9" w:rsidRPr="001E6FD1">
              <w:rPr>
                <w:b/>
                <w:bCs/>
                <w:szCs w:val="20"/>
                <w:vertAlign w:val="superscript"/>
              </w:rPr>
              <w:footnoteReference w:id="2"/>
            </w:r>
            <w:r w:rsidR="002953C9" w:rsidRPr="00B66611">
              <w:rPr>
                <w:lang w:val="en-US"/>
              </w:rPr>
              <w:t xml:space="preserve"> </w:t>
            </w:r>
            <w:r w:rsidRPr="00B66611">
              <w:rPr>
                <w:b/>
                <w:bCs/>
                <w:szCs w:val="20"/>
                <w:lang w:val="en-US"/>
              </w:rPr>
              <w:t xml:space="preserve">Edition </w:t>
            </w:r>
            <w:r w:rsidR="002953C9" w:rsidRPr="001E6FD1">
              <w:rPr>
                <w:b/>
                <w:bCs/>
                <w:szCs w:val="20"/>
                <w:vertAlign w:val="superscript"/>
              </w:rPr>
              <w:footnoteReference w:id="3"/>
            </w:r>
          </w:p>
        </w:tc>
      </w:tr>
      <w:tr w:rsidR="008D23A7" w:rsidRPr="00B66611" w14:paraId="2A7F89CC" w14:textId="77777777" w:rsidTr="00991585">
        <w:trPr>
          <w:trHeight w:val="72"/>
        </w:trPr>
        <w:tc>
          <w:tcPr>
            <w:tcW w:w="9540" w:type="dxa"/>
          </w:tcPr>
          <w:p w14:paraId="1CD4CB14" w14:textId="77777777" w:rsidR="008D23A7" w:rsidRPr="00B66611" w:rsidRDefault="008D23A7" w:rsidP="009A7D95">
            <w:pPr>
              <w:spacing w:before="120" w:after="120"/>
              <w:rPr>
                <w:rFonts w:eastAsia="MS Mincho"/>
                <w:szCs w:val="20"/>
                <w:lang w:val="en-US" w:eastAsia="zh-CN"/>
              </w:rPr>
            </w:pPr>
          </w:p>
        </w:tc>
      </w:tr>
      <w:tr w:rsidR="008D23A7" w:rsidRPr="001E6FD1" w14:paraId="05D1758E" w14:textId="77777777" w:rsidTr="00991585">
        <w:trPr>
          <w:trHeight w:val="720"/>
        </w:trPr>
        <w:tc>
          <w:tcPr>
            <w:tcW w:w="9540" w:type="dxa"/>
          </w:tcPr>
          <w:p w14:paraId="79D60E2E" w14:textId="12C7AB1F" w:rsidR="008D23A7" w:rsidRPr="00583E0B" w:rsidRDefault="008D23A7" w:rsidP="009A7D95">
            <w:pPr>
              <w:pStyle w:val="LicenseNumberChar"/>
              <w:spacing w:before="120" w:after="120"/>
            </w:pPr>
            <w:r>
              <w:rPr>
                <w:sz w:val="24"/>
                <w:szCs w:val="20"/>
              </w:rPr>
              <w:t xml:space="preserve">Lizenzen: </w:t>
            </w:r>
            <w:r>
              <w:rPr>
                <w:sz w:val="24"/>
                <w:szCs w:val="20"/>
                <w:u w:val="single"/>
              </w:rPr>
              <w:fldChar w:fldCharType="begin">
                <w:ffData>
                  <w:name w:val="Text33"/>
                  <w:enabled/>
                  <w:calcOnExit w:val="0"/>
                  <w:textInput/>
                </w:ffData>
              </w:fldChar>
            </w:r>
            <w:r w:rsidRPr="001E6FD1">
              <w:rPr>
                <w:sz w:val="24"/>
                <w:szCs w:val="20"/>
                <w:u w:val="single"/>
              </w:rPr>
              <w:instrText xml:space="preserve"> FORMTEXT </w:instrText>
            </w:r>
            <w:r>
              <w:rPr>
                <w:sz w:val="24"/>
                <w:szCs w:val="20"/>
                <w:u w:val="single"/>
              </w:rPr>
            </w:r>
            <w:r>
              <w:rPr>
                <w:sz w:val="24"/>
                <w:szCs w:val="20"/>
                <w:u w:val="single"/>
              </w:rPr>
              <w:fldChar w:fldCharType="separate"/>
            </w:r>
            <w:r w:rsidR="00323C54">
              <w:rPr>
                <w:noProof/>
                <w:sz w:val="24"/>
                <w:szCs w:val="20"/>
                <w:u w:val="single"/>
              </w:rPr>
              <w:t> </w:t>
            </w:r>
            <w:r w:rsidR="00323C54">
              <w:rPr>
                <w:noProof/>
                <w:sz w:val="24"/>
                <w:szCs w:val="20"/>
                <w:u w:val="single"/>
              </w:rPr>
              <w:t> </w:t>
            </w:r>
            <w:r w:rsidR="00323C54">
              <w:rPr>
                <w:noProof/>
                <w:sz w:val="24"/>
                <w:szCs w:val="20"/>
                <w:u w:val="single"/>
              </w:rPr>
              <w:t> </w:t>
            </w:r>
            <w:r w:rsidR="00323C54">
              <w:rPr>
                <w:noProof/>
                <w:sz w:val="24"/>
                <w:szCs w:val="20"/>
                <w:u w:val="single"/>
              </w:rPr>
              <w:t> </w:t>
            </w:r>
            <w:r w:rsidR="00323C54">
              <w:rPr>
                <w:noProof/>
                <w:sz w:val="24"/>
                <w:szCs w:val="20"/>
                <w:u w:val="single"/>
              </w:rPr>
              <w:t> </w:t>
            </w:r>
            <w:r>
              <w:fldChar w:fldCharType="end"/>
            </w:r>
            <w:r w:rsidR="002953C9" w:rsidRPr="001E6FD1">
              <w:rPr>
                <w:rStyle w:val="LicenseNumSuperChar"/>
                <w:b/>
                <w:sz w:val="24"/>
                <w:szCs w:val="20"/>
                <w:vertAlign w:val="superscript"/>
              </w:rPr>
              <w:footnoteReference w:id="4"/>
            </w:r>
          </w:p>
          <w:p w14:paraId="23EAE7F5" w14:textId="77777777" w:rsidR="008D23A7" w:rsidRPr="001E6FD1" w:rsidRDefault="008D23A7" w:rsidP="009A7D95">
            <w:pPr>
              <w:pStyle w:val="LicenseNumberChar"/>
              <w:spacing w:before="120" w:after="120"/>
              <w:rPr>
                <w:sz w:val="24"/>
                <w:szCs w:val="20"/>
              </w:rPr>
            </w:pPr>
          </w:p>
        </w:tc>
      </w:tr>
      <w:tr w:rsidR="008D23A7" w:rsidRPr="001E6FD1" w14:paraId="7ECA82A6" w14:textId="77777777" w:rsidTr="002953C9">
        <w:trPr>
          <w:trHeight w:val="513"/>
        </w:trPr>
        <w:tc>
          <w:tcPr>
            <w:tcW w:w="9540" w:type="dxa"/>
            <w:shd w:val="clear" w:color="auto" w:fill="000080"/>
            <w:vAlign w:val="center"/>
          </w:tcPr>
          <w:p w14:paraId="4F976A01" w14:textId="77777777" w:rsidR="008D23A7" w:rsidRPr="001E6FD1" w:rsidRDefault="008D23A7" w:rsidP="009A7D95">
            <w:pPr>
              <w:pStyle w:val="Heading2"/>
              <w:keepNext w:val="0"/>
              <w:keepLines w:val="0"/>
              <w:widowControl/>
              <w:tabs>
                <w:tab w:val="left" w:pos="720"/>
              </w:tabs>
              <w:spacing w:before="120" w:after="120"/>
              <w:rPr>
                <w:rFonts w:ascii="Tahoma" w:eastAsia="MS Mincho" w:hAnsi="Tahoma" w:cs="Tahoma"/>
                <w:b/>
                <w:color w:val="auto"/>
                <w:sz w:val="20"/>
                <w:szCs w:val="20"/>
              </w:rPr>
            </w:pPr>
            <w:r>
              <w:rPr>
                <w:rFonts w:ascii="Tahoma" w:eastAsia="MS Mincho" w:hAnsi="Tahoma" w:cs="Tahoma"/>
                <w:b/>
                <w:color w:val="auto"/>
                <w:sz w:val="20"/>
                <w:szCs w:val="20"/>
              </w:rPr>
              <w:t>ENDBENUTZER-LIZENZVERTRAG</w:t>
            </w:r>
          </w:p>
        </w:tc>
      </w:tr>
    </w:tbl>
    <w:p w14:paraId="07ECB1DC" w14:textId="786A1F1A" w:rsidR="00FD75BC" w:rsidRPr="00583E0B" w:rsidRDefault="00FD75BC" w:rsidP="009A7D95">
      <w:pPr>
        <w:spacing w:before="120" w:after="120"/>
      </w:pPr>
      <w:r>
        <w:rPr>
          <w:b/>
          <w:sz w:val="20"/>
          <w:szCs w:val="20"/>
        </w:rPr>
        <w:t xml:space="preserve">WENN SIE IN </w:t>
      </w:r>
      <w:r>
        <w:rPr>
          <w:b/>
          <w:bCs/>
          <w:sz w:val="20"/>
          <w:szCs w:val="20"/>
        </w:rPr>
        <w:t xml:space="preserve">WOHNEN (ODER IHR HAUPTGESCHÄFTSSITZ IN </w:t>
      </w:r>
      <w:r>
        <w:rPr>
          <w:b/>
          <w:sz w:val="20"/>
          <w:szCs w:val="20"/>
        </w:rPr>
        <w:t>DEN VEREINIGTEN STAATEN LIEGT), LESEN SIE BITTE IN ABSCHNITT 8 DIE KLAUSEL ÜBER DAS VERBINDLICHE SCHIEDSGERICHTSVERFAHREN UND DEN VERZICHT AUF SAMMELKLAGEN. SIE WIRKT SICH DARAUF AUS, WIE STREITIGKEITEN MIT DEM LIZENZGEBER ODER MICROSOFT GELÖST WERDEN.</w:t>
      </w:r>
    </w:p>
    <w:p w14:paraId="409C2007" w14:textId="19394961" w:rsidR="00FD2E77" w:rsidRPr="00583E0B" w:rsidRDefault="00FD75BC" w:rsidP="009A7D95">
      <w:pPr>
        <w:spacing w:before="120" w:after="120"/>
      </w:pPr>
      <w:r>
        <w:rPr>
          <w:b/>
          <w:sz w:val="20"/>
          <w:szCs w:val="20"/>
        </w:rPr>
        <w:t xml:space="preserve">Vielen Dank, dass Sie sich für eine Softwareanwendung entschieden haben, die Microsoft </w:t>
      </w:r>
      <w:r w:rsidR="00B66611">
        <w:rPr>
          <w:b/>
          <w:sz w:val="20"/>
          <w:szCs w:val="20"/>
        </w:rPr>
        <w:t>PowerPoint</w:t>
      </w:r>
      <w:r>
        <w:rPr>
          <w:b/>
          <w:sz w:val="20"/>
          <w:szCs w:val="20"/>
        </w:rPr>
        <w:t xml:space="preserve"> einschließt.</w:t>
      </w:r>
    </w:p>
    <w:p w14:paraId="7B2F7569" w14:textId="2704D9C8" w:rsidR="00746776" w:rsidRPr="00583E0B" w:rsidRDefault="00FD4666" w:rsidP="009A7D95">
      <w:pPr>
        <w:spacing w:before="120" w:after="120"/>
      </w:pPr>
      <w:r>
        <w:rPr>
          <w:sz w:val="20"/>
          <w:szCs w:val="20"/>
        </w:rPr>
        <w:t>Dies ist ein Lizenzvertrag zwischen Ihnen und dem Lizenzgeber der Softwareanwendung oder Reihe von Anwendungen, mit der Sie die Microsoft-Software erworben haben („Lizenzgeber“).</w:t>
      </w:r>
    </w:p>
    <w:p w14:paraId="2961AE9D" w14:textId="24D7C4DC" w:rsidR="0000160A" w:rsidRPr="00583E0B" w:rsidRDefault="0000160A" w:rsidP="0032370C">
      <w:pPr>
        <w:spacing w:before="120" w:after="120"/>
      </w:pPr>
      <w:r>
        <w:rPr>
          <w:sz w:val="20"/>
          <w:szCs w:val="20"/>
        </w:rPr>
        <w:t xml:space="preserve">Dieser Vertrag beschreibt Ihre Rechte und die Bedingungen, unter denen Sie die Microsoft </w:t>
      </w:r>
      <w:r w:rsidR="00B66611">
        <w:rPr>
          <w:sz w:val="20"/>
          <w:szCs w:val="20"/>
        </w:rPr>
        <w:t>PowerPoint</w:t>
      </w:r>
      <w:r>
        <w:rPr>
          <w:sz w:val="20"/>
          <w:szCs w:val="20"/>
        </w:rPr>
        <w:t xml:space="preserve">-Software nutzen dürfen. Sie sollten den gesamten Vertrag, einschließlich </w:t>
      </w:r>
      <w:r>
        <w:rPr>
          <w:bCs/>
          <w:sz w:val="20"/>
          <w:szCs w:val="20"/>
        </w:rPr>
        <w:t xml:space="preserve">aller ergänzenden Lizenzbestimmungen, die </w:t>
      </w:r>
      <w:r w:rsidR="00047D0B">
        <w:rPr>
          <w:bCs/>
          <w:sz w:val="20"/>
          <w:szCs w:val="20"/>
        </w:rPr>
        <w:t xml:space="preserve">die </w:t>
      </w:r>
      <w:r>
        <w:rPr>
          <w:bCs/>
          <w:sz w:val="20"/>
          <w:szCs w:val="20"/>
        </w:rPr>
        <w:t xml:space="preserve">Software begleiten, und </w:t>
      </w:r>
      <w:r>
        <w:rPr>
          <w:sz w:val="20"/>
          <w:szCs w:val="20"/>
        </w:rPr>
        <w:t xml:space="preserve">aller verknüpften Bestimmungen überprüfen, da alle Bestimmungen wichtig sind und gemeinsam diesen Vertrag gestalten, </w:t>
      </w:r>
      <w:r w:rsidR="0032370C" w:rsidRPr="0032370C">
        <w:rPr>
          <w:sz w:val="20"/>
          <w:szCs w:val="20"/>
        </w:rPr>
        <w:t>der</w:t>
      </w:r>
      <w:r>
        <w:rPr>
          <w:sz w:val="20"/>
          <w:szCs w:val="20"/>
        </w:rPr>
        <w:t xml:space="preserve"> für Sie gilt. Sie können verknüpfte Bestimmungen überprüfen, indem Sie den entsprechenden Link in ein Browserfenster einfügen.</w:t>
      </w:r>
    </w:p>
    <w:p w14:paraId="471601CE" w14:textId="52C3AD0E" w:rsidR="00D23716" w:rsidRPr="00583E0B" w:rsidRDefault="00D23716" w:rsidP="009A7D95">
      <w:pPr>
        <w:spacing w:before="120" w:after="120"/>
      </w:pPr>
      <w:r>
        <w:rPr>
          <w:b/>
          <w:bCs/>
          <w:sz w:val="20"/>
          <w:szCs w:val="20"/>
        </w:rPr>
        <w:t xml:space="preserve">Mit der Annahme dieses Vertrags oder der Nutzung der Software erklären Sie sich mit allen diesen Bestimmungen und der Übertragung bestimmter Daten während der Aktivierung und während der Nutzung der Software in Anwendung der in Abschnitt </w:t>
      </w:r>
      <w:r>
        <w:rPr>
          <w:b/>
          <w:sz w:val="20"/>
          <w:szCs w:val="20"/>
        </w:rPr>
        <w:t>4</w:t>
      </w:r>
      <w:r>
        <w:rPr>
          <w:b/>
          <w:bCs/>
          <w:sz w:val="20"/>
          <w:szCs w:val="20"/>
        </w:rPr>
        <w:t xml:space="preserve"> dargelegten Microsoft-Datenschutzerklärung einverstanden. Wenn Sie diese Bestimmungen nicht akzeptieren und einhalten, dürfen Sie die Software oder deren Funktionen nicht nutzen. </w:t>
      </w:r>
      <w:r>
        <w:rPr>
          <w:bCs/>
          <w:sz w:val="20"/>
          <w:szCs w:val="20"/>
        </w:rPr>
        <w:t>Sie können sich an die Stelle wenden, wo Sie die Softwarelizenz erworben haben, um deren Rückgaberichtlinie zu ermitteln und die Software gegen Erstattung oder Gutschrift im Rahmen jener Richtlinie zurückzugeben.</w:t>
      </w:r>
    </w:p>
    <w:p w14:paraId="351E5EE5" w14:textId="5903048D" w:rsidR="0039417B" w:rsidRPr="00583E0B" w:rsidRDefault="00A0394E" w:rsidP="009A7D95">
      <w:pPr>
        <w:pStyle w:val="ListParagraph"/>
        <w:numPr>
          <w:ilvl w:val="0"/>
          <w:numId w:val="12"/>
        </w:numPr>
        <w:tabs>
          <w:tab w:val="left" w:pos="360"/>
        </w:tabs>
        <w:spacing w:before="120" w:after="120"/>
        <w:ind w:left="360"/>
        <w:contextualSpacing w:val="0"/>
      </w:pPr>
      <w:bookmarkStart w:id="5" w:name="OLE_LINK1"/>
      <w:bookmarkStart w:id="6" w:name="OLE_LINK2"/>
      <w:bookmarkStart w:id="7" w:name="OLE_LINK3"/>
      <w:r>
        <w:rPr>
          <w:b/>
          <w:bCs/>
          <w:sz w:val="20"/>
          <w:szCs w:val="20"/>
        </w:rPr>
        <w:t>ÜBERBLICK.</w:t>
      </w:r>
    </w:p>
    <w:p w14:paraId="692B3DEC" w14:textId="283CA0B6" w:rsidR="0039417B" w:rsidRPr="00583E0B" w:rsidRDefault="00AC5420" w:rsidP="009A7D95">
      <w:pPr>
        <w:pStyle w:val="ListParagraph"/>
        <w:numPr>
          <w:ilvl w:val="1"/>
          <w:numId w:val="12"/>
        </w:numPr>
        <w:tabs>
          <w:tab w:val="left" w:pos="720"/>
        </w:tabs>
        <w:spacing w:before="120" w:after="120"/>
        <w:ind w:left="720"/>
        <w:contextualSpacing w:val="0"/>
      </w:pPr>
      <w:r>
        <w:rPr>
          <w:b/>
          <w:bCs/>
          <w:sz w:val="20"/>
          <w:szCs w:val="20"/>
        </w:rPr>
        <w:t xml:space="preserve">Anwendbarkeit. </w:t>
      </w:r>
      <w:r>
        <w:rPr>
          <w:bCs/>
          <w:sz w:val="20"/>
          <w:szCs w:val="20"/>
        </w:rPr>
        <w:t xml:space="preserve">Dieser Vertrag gilt für die Microsoft </w:t>
      </w:r>
      <w:r w:rsidR="00B66611">
        <w:rPr>
          <w:bCs/>
          <w:sz w:val="20"/>
          <w:szCs w:val="20"/>
        </w:rPr>
        <w:t>PowerPoint</w:t>
      </w:r>
      <w:r>
        <w:rPr>
          <w:bCs/>
          <w:sz w:val="20"/>
          <w:szCs w:val="20"/>
        </w:rPr>
        <w:t>-Software, die Datenträger, auf denen Sie die Software erhalten haben (falls vorhanden), alle Schriftarten, Symbole, Bilder oder Audiodateien, die der Software beiliegen, sowie alle Microsoft-Updates, Upgrades, Ergänzungen oder Dienste für die Software, sofern nicht mit anderen Bestimmungen versehen.</w:t>
      </w:r>
    </w:p>
    <w:p w14:paraId="15C9498E" w14:textId="40ED645F" w:rsidR="00053E7C" w:rsidRPr="002953C9" w:rsidRDefault="00AC5420" w:rsidP="009A7D95">
      <w:pPr>
        <w:pStyle w:val="ListParagraph"/>
        <w:numPr>
          <w:ilvl w:val="1"/>
          <w:numId w:val="12"/>
        </w:numPr>
        <w:tabs>
          <w:tab w:val="left" w:pos="720"/>
        </w:tabs>
        <w:spacing w:before="120" w:after="120"/>
        <w:ind w:left="720"/>
        <w:contextualSpacing w:val="0"/>
        <w:rPr>
          <w:spacing w:val="-2"/>
        </w:rPr>
      </w:pPr>
      <w:r w:rsidRPr="002953C9">
        <w:rPr>
          <w:b/>
          <w:bCs/>
          <w:spacing w:val="-2"/>
          <w:sz w:val="20"/>
          <w:szCs w:val="20"/>
        </w:rPr>
        <w:lastRenderedPageBreak/>
        <w:t xml:space="preserve">Zusätzliche Bestimmungen. </w:t>
      </w:r>
      <w:r w:rsidRPr="002953C9">
        <w:rPr>
          <w:bCs/>
          <w:spacing w:val="-2"/>
          <w:sz w:val="20"/>
          <w:szCs w:val="20"/>
        </w:rPr>
        <w:t>Zusätzliche Bestimmungen von Microsoft und Dritten können für Ihre Nutzung bestimmter Funktionen, Dienste und Anwendungen gelten. Bitte lesen Sie</w:t>
      </w:r>
      <w:r w:rsidR="008A53E8">
        <w:rPr>
          <w:bCs/>
          <w:spacing w:val="-2"/>
          <w:sz w:val="20"/>
          <w:szCs w:val="20"/>
        </w:rPr>
        <w:t xml:space="preserve"> sie</w:t>
      </w:r>
      <w:r w:rsidRPr="002953C9">
        <w:rPr>
          <w:bCs/>
          <w:spacing w:val="-2"/>
          <w:sz w:val="20"/>
          <w:szCs w:val="20"/>
        </w:rPr>
        <w:t xml:space="preserve"> unbedingt.</w:t>
      </w:r>
    </w:p>
    <w:p w14:paraId="5E1A4136" w14:textId="37C7E8C5" w:rsidR="00C245C1" w:rsidRPr="00583E0B" w:rsidRDefault="005C052D" w:rsidP="009A7D95">
      <w:pPr>
        <w:pStyle w:val="ListParagraph"/>
        <w:numPr>
          <w:ilvl w:val="2"/>
          <w:numId w:val="12"/>
        </w:numPr>
        <w:tabs>
          <w:tab w:val="left" w:pos="1080"/>
        </w:tabs>
        <w:spacing w:before="120" w:after="120"/>
        <w:ind w:left="1080" w:hanging="360"/>
        <w:contextualSpacing w:val="0"/>
      </w:pPr>
      <w:r>
        <w:rPr>
          <w:bCs/>
          <w:sz w:val="20"/>
          <w:szCs w:val="20"/>
        </w:rPr>
        <w:t xml:space="preserve">Einige Funktionen der Software bieten einen Zugangspunkt zu Online-Diensten oder sind auf diese angewiesen, wobei die Nutzung dieser Dienste manchmal separaten Bestimmungen und Datenschutzrichtlinien unterliegt, wie beispielsweise der Microsoft-Servicevertrag unter </w:t>
      </w:r>
      <w:r>
        <w:rPr>
          <w:color w:val="000000" w:themeColor="text1"/>
          <w:sz w:val="20"/>
          <w:szCs w:val="20"/>
        </w:rPr>
        <w:t>(</w:t>
      </w:r>
      <w:hyperlink r:id="rId8" w:history="1">
        <w:r>
          <w:rPr>
            <w:rStyle w:val="Hyperlink"/>
            <w:bCs/>
            <w:sz w:val="20"/>
            <w:szCs w:val="20"/>
          </w:rPr>
          <w:t>aka.ms/msa</w:t>
        </w:r>
      </w:hyperlink>
      <w:r>
        <w:rPr>
          <w:bCs/>
          <w:sz w:val="20"/>
          <w:szCs w:val="20"/>
        </w:rPr>
        <w:t>). Sie können diese Bestimmungen und Richtlinien prüfen, indem Sie sich die geltenden Service-Nutzungsbedingungen ansehen. Die Dienste sind möglicherweise nicht in allen Regionen verfügbar.</w:t>
      </w:r>
    </w:p>
    <w:p w14:paraId="6005316C" w14:textId="48F73B11" w:rsidR="00053E7C" w:rsidRPr="00583E0B" w:rsidRDefault="00870F2C" w:rsidP="009A7D95">
      <w:pPr>
        <w:pStyle w:val="ListParagraph"/>
        <w:numPr>
          <w:ilvl w:val="2"/>
          <w:numId w:val="12"/>
        </w:numPr>
        <w:tabs>
          <w:tab w:val="left" w:pos="1080"/>
        </w:tabs>
        <w:spacing w:before="120" w:after="120"/>
        <w:ind w:left="1080" w:hanging="360"/>
        <w:contextualSpacing w:val="0"/>
      </w:pPr>
      <w:r>
        <w:rPr>
          <w:bCs/>
          <w:sz w:val="20"/>
          <w:szCs w:val="20"/>
        </w:rPr>
        <w:t>Die Software kann Programme von Drittanbietern enthalten, die Microsoft, nicht der Drittanbieter, im Rahmen dieses Vertrags an Sie lizenziert. Hinweise, falls vorhanden, für das Drittanbieterprogramm sind nur zu Ihrer Information enthalten.</w:t>
      </w:r>
    </w:p>
    <w:p w14:paraId="72B66687" w14:textId="04DC3FDE" w:rsidR="00C832D7" w:rsidRPr="00583E0B" w:rsidRDefault="00C832D7" w:rsidP="009A7D95">
      <w:pPr>
        <w:pStyle w:val="ListParagraph"/>
        <w:numPr>
          <w:ilvl w:val="2"/>
          <w:numId w:val="12"/>
        </w:numPr>
        <w:tabs>
          <w:tab w:val="left" w:pos="1080"/>
        </w:tabs>
        <w:spacing w:before="120" w:after="120"/>
        <w:ind w:left="1080" w:hanging="360"/>
        <w:contextualSpacing w:val="0"/>
      </w:pPr>
      <w:r>
        <w:rPr>
          <w:bCs/>
          <w:sz w:val="20"/>
          <w:szCs w:val="20"/>
        </w:rPr>
        <w:t>Während die Software arbeitet, können Sie ihre Schriftarten zum Anzeigen und Drucken von Inhalten nutzen. Sie können die Schriftarten vorübergehend auf einen Drucker oder ein anderes Ausgabegerät herunterladen, um Inhalte zu drucken, und Sie dürfen Schriftarten nur dann in den Inhalt einbetten, wenn dies durch die Schriftarteinbettungsbeschränkungen erlaubt ist.</w:t>
      </w:r>
    </w:p>
    <w:bookmarkEnd w:id="5"/>
    <w:bookmarkEnd w:id="6"/>
    <w:bookmarkEnd w:id="7"/>
    <w:p w14:paraId="2A90F224" w14:textId="10EBCC67" w:rsidR="0039417B" w:rsidRPr="00583E0B" w:rsidRDefault="00A0394E" w:rsidP="009A7D95">
      <w:pPr>
        <w:pStyle w:val="ListParagraph"/>
        <w:numPr>
          <w:ilvl w:val="0"/>
          <w:numId w:val="12"/>
        </w:numPr>
        <w:tabs>
          <w:tab w:val="left" w:pos="360"/>
        </w:tabs>
        <w:spacing w:before="120" w:after="120"/>
        <w:ind w:left="360"/>
        <w:contextualSpacing w:val="0"/>
      </w:pPr>
      <w:r>
        <w:rPr>
          <w:b/>
          <w:bCs/>
          <w:sz w:val="20"/>
          <w:szCs w:val="20"/>
        </w:rPr>
        <w:t>RECHTE ZUR INSTALLATION UND NUTZUNG.</w:t>
      </w:r>
    </w:p>
    <w:p w14:paraId="26ECB5AD" w14:textId="55F39211" w:rsidR="00482AB8" w:rsidRPr="002953C9" w:rsidRDefault="00AC5420" w:rsidP="009A7D95">
      <w:pPr>
        <w:pStyle w:val="ListParagraph"/>
        <w:numPr>
          <w:ilvl w:val="1"/>
          <w:numId w:val="12"/>
        </w:numPr>
        <w:tabs>
          <w:tab w:val="left" w:pos="720"/>
        </w:tabs>
        <w:spacing w:before="120" w:after="120"/>
        <w:ind w:left="720"/>
        <w:contextualSpacing w:val="0"/>
      </w:pPr>
      <w:r w:rsidRPr="002953C9">
        <w:rPr>
          <w:b/>
          <w:bCs/>
          <w:sz w:val="20"/>
          <w:szCs w:val="20"/>
        </w:rPr>
        <w:t>Lizenz.</w:t>
      </w:r>
      <w:r w:rsidRPr="002953C9">
        <w:rPr>
          <w:sz w:val="20"/>
          <w:szCs w:val="20"/>
        </w:rPr>
        <w:t xml:space="preserve"> </w:t>
      </w:r>
      <w:r w:rsidRPr="002953C9">
        <w:rPr>
          <w:bCs/>
          <w:sz w:val="20"/>
          <w:szCs w:val="20"/>
        </w:rPr>
        <w:t>Die Software wird lizenziert, nicht verkauft</w:t>
      </w:r>
      <w:r w:rsidRPr="002953C9">
        <w:rPr>
          <w:sz w:val="20"/>
          <w:szCs w:val="20"/>
        </w:rPr>
        <w:t xml:space="preserve">. </w:t>
      </w:r>
      <w:r w:rsidRPr="002953C9">
        <w:rPr>
          <w:bCs/>
          <w:sz w:val="20"/>
          <w:szCs w:val="20"/>
        </w:rPr>
        <w:t xml:space="preserve">Im Rahmen dieses Vertrags gewähren wir Ihnen das Recht, eine Instanz der Software auf Ihrem Gerät (dem lizenzierten Gerät) zu installieren und auszuführen, die von jeweils einer Person genutzt wird, jedoch nur, wenn Sie alle Bestimmungen dieses Vertrags einhalten. Bitte beachten Sie die folgenden Abschnitte </w:t>
      </w:r>
      <w:r w:rsidRPr="002953C9">
        <w:rPr>
          <w:sz w:val="20"/>
          <w:szCs w:val="20"/>
        </w:rPr>
        <w:t>11-13</w:t>
      </w:r>
      <w:r w:rsidRPr="002953C9">
        <w:rPr>
          <w:bCs/>
          <w:sz w:val="20"/>
          <w:szCs w:val="20"/>
        </w:rPr>
        <w:t xml:space="preserve"> für Lizenzen und Bedingungen, die spezifisch für Versionen mit eingeschränkten Rechten, </w:t>
      </w:r>
      <w:r w:rsidRPr="002953C9">
        <w:rPr>
          <w:sz w:val="20"/>
          <w:szCs w:val="20"/>
        </w:rPr>
        <w:t>bestimmte geografische Regionen und Sonderausgaben</w:t>
      </w:r>
      <w:r w:rsidRPr="002953C9">
        <w:rPr>
          <w:bCs/>
          <w:sz w:val="20"/>
          <w:szCs w:val="20"/>
        </w:rPr>
        <w:t xml:space="preserve"> der Software sind. Aktualisierung oder Aufrüstung von nicht originaler Software mit Software von Microsoft oder autorisierten Quellen macht Ihre Originalversion oder die aktualisierte/aufgerüstete Version nicht echt und in diesem Fall haben Sie keine Lizenz zur Nutzung der Software.</w:t>
      </w:r>
    </w:p>
    <w:p w14:paraId="1E71BF9A" w14:textId="50A513D1" w:rsidR="0039417B" w:rsidRPr="00583E0B" w:rsidRDefault="00482AB8" w:rsidP="009A7D95">
      <w:pPr>
        <w:pStyle w:val="ListParagraph"/>
        <w:numPr>
          <w:ilvl w:val="1"/>
          <w:numId w:val="12"/>
        </w:numPr>
        <w:tabs>
          <w:tab w:val="left" w:pos="720"/>
        </w:tabs>
        <w:spacing w:before="120" w:after="120"/>
        <w:ind w:left="720"/>
        <w:contextualSpacing w:val="0"/>
      </w:pPr>
      <w:r>
        <w:rPr>
          <w:b/>
          <w:bCs/>
          <w:sz w:val="20"/>
          <w:szCs w:val="20"/>
        </w:rPr>
        <w:t>Gerät.</w:t>
      </w:r>
      <w:r>
        <w:rPr>
          <w:bCs/>
          <w:sz w:val="20"/>
          <w:szCs w:val="20"/>
        </w:rPr>
        <w:t xml:space="preserve"> In diesem Vertrag bezieht „Gerät“ sich auf ein Hardwaresystem (sei es physisch oder virtuell) mit einem internen Speichergerät, das in der Lage ist, die Software auszuführen. Eine Hardwarepartition oder ein Blade wird als Gerät betrachtet.</w:t>
      </w:r>
    </w:p>
    <w:p w14:paraId="69747D89" w14:textId="67F618C2" w:rsidR="00D92549" w:rsidRPr="00583E0B" w:rsidRDefault="00D92549" w:rsidP="009A7D95">
      <w:pPr>
        <w:pStyle w:val="ListParagraph"/>
        <w:numPr>
          <w:ilvl w:val="1"/>
          <w:numId w:val="12"/>
        </w:numPr>
        <w:tabs>
          <w:tab w:val="left" w:pos="720"/>
        </w:tabs>
        <w:spacing w:before="120" w:after="120"/>
        <w:ind w:left="720"/>
        <w:contextualSpacing w:val="0"/>
      </w:pPr>
      <w:r>
        <w:rPr>
          <w:b/>
          <w:bCs/>
          <w:sz w:val="20"/>
          <w:szCs w:val="20"/>
        </w:rPr>
        <w:t xml:space="preserve">Beschränkungen. </w:t>
      </w:r>
      <w:r>
        <w:rPr>
          <w:sz w:val="20"/>
          <w:szCs w:val="20"/>
        </w:rPr>
        <w:t>Der Lizenzgeber und Microsoft behalten sich alle Rechte (z. B. Rechte nach dem Recht des geistigen Eigentums) vor, die in diesem Vertrag nicht ausdrücklich gewährt werden. Diese Lizenz gibt Ihnen beispielsweise kein Recht zu Folgendem und Sie dürfen nicht:</w:t>
      </w:r>
    </w:p>
    <w:p w14:paraId="13D284B1" w14:textId="3E382EB3"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Funktionen der Software getrennt verwenden oder virtualisieren</w:t>
      </w:r>
    </w:p>
    <w:p w14:paraId="735F7053" w14:textId="6720B087"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die Software veröffentlichen, vermieten, verleasen oder verleihen</w:t>
      </w:r>
    </w:p>
    <w:p w14:paraId="6F80D4BD" w14:textId="6C211404"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die Software übertragen (außer wie im Rahmen dieses Vertrags zulässig)</w:t>
      </w:r>
    </w:p>
    <w:p w14:paraId="03155A7B" w14:textId="4C09C9A6" w:rsidR="00A160A1" w:rsidRPr="00583E0B" w:rsidRDefault="00A160A1" w:rsidP="009A7D95">
      <w:pPr>
        <w:pStyle w:val="ListParagraph"/>
        <w:numPr>
          <w:ilvl w:val="2"/>
          <w:numId w:val="12"/>
        </w:numPr>
        <w:tabs>
          <w:tab w:val="left" w:pos="1080"/>
        </w:tabs>
        <w:spacing w:before="120" w:after="120"/>
        <w:ind w:left="1080" w:hanging="360"/>
        <w:contextualSpacing w:val="0"/>
      </w:pPr>
      <w:r>
        <w:rPr>
          <w:sz w:val="20"/>
          <w:szCs w:val="20"/>
        </w:rPr>
        <w:t>technische Beschränkungen oder Einschränkungen der Software umgehen</w:t>
      </w:r>
    </w:p>
    <w:p w14:paraId="42A39265" w14:textId="2E89CA3C" w:rsidR="00A160A1" w:rsidRPr="00583E0B" w:rsidRDefault="00A160A1" w:rsidP="009A7D95">
      <w:pPr>
        <w:pStyle w:val="ListParagraph"/>
        <w:numPr>
          <w:ilvl w:val="2"/>
          <w:numId w:val="12"/>
        </w:numPr>
        <w:tabs>
          <w:tab w:val="left" w:pos="1080"/>
        </w:tabs>
        <w:spacing w:before="120" w:after="120"/>
        <w:ind w:left="1080" w:hanging="360"/>
        <w:contextualSpacing w:val="0"/>
      </w:pPr>
      <w:r>
        <w:rPr>
          <w:sz w:val="20"/>
          <w:szCs w:val="20"/>
        </w:rPr>
        <w:t>die Software als Serversoftware oder für gewerbliches Hosting verwenden, die Software für die simultane Verwendung durch mehrere Benutzer über ein Netzwerk bereitstellen, die Software auf einem Server installieren und Benutzern Remotezugriff darauf gewähren oder die Software auf einem Gerät für die Verwendung nur durch Remotebenutzer installieren</w:t>
      </w:r>
    </w:p>
    <w:p w14:paraId="2F9DF55A" w14:textId="77202CF8" w:rsidR="00B363D0"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die Software zurückentwickeln, dekompilieren oder disassemblieren oder versuchen, dies zu tun, es sei denn, die Gesetze an Ihrem Wohnort (oder, wenn ein Unternehmen, an Ihrem Hauptgeschäftssitz) erlauben dies, auch wenn dieser Vertrag dies nicht tut. In diesem Fall dürfen Sie nur das tun, was Ihr Gesetz erlaubt; oder</w:t>
      </w:r>
    </w:p>
    <w:p w14:paraId="7BF88245" w14:textId="21C8FAC8" w:rsidR="00AA6007" w:rsidRPr="00583E0B" w:rsidRDefault="00B637A5" w:rsidP="009A7D95">
      <w:pPr>
        <w:pStyle w:val="ListParagraph"/>
        <w:numPr>
          <w:ilvl w:val="2"/>
          <w:numId w:val="12"/>
        </w:numPr>
        <w:tabs>
          <w:tab w:val="left" w:pos="1080"/>
        </w:tabs>
        <w:spacing w:before="120" w:after="120"/>
        <w:ind w:left="1080" w:hanging="360"/>
        <w:contextualSpacing w:val="0"/>
      </w:pPr>
      <w:r>
        <w:rPr>
          <w:sz w:val="20"/>
          <w:szCs w:val="20"/>
        </w:rPr>
        <w:t xml:space="preserve">wenn Sie internetbasierte Funktionen nutzen, dürfen Sie diese Funktionen auf keinerlei Weise </w:t>
      </w:r>
      <w:r>
        <w:rPr>
          <w:sz w:val="20"/>
          <w:szCs w:val="20"/>
        </w:rPr>
        <w:lastRenderedPageBreak/>
        <w:t>nutzen, welche die Nutzung durch andere Personen behindern könnte, und Sie dürfen nicht versuchen, auf nicht autorisierte Weise Zugriff auf Dienste, Daten, Konten oder Netzwerke zu erhalten.</w:t>
      </w:r>
    </w:p>
    <w:p w14:paraId="745DF08C" w14:textId="286A29BF" w:rsidR="00F07769" w:rsidRPr="00583E0B" w:rsidRDefault="00F07769" w:rsidP="009A7D95">
      <w:pPr>
        <w:pStyle w:val="ListParagraph"/>
        <w:numPr>
          <w:ilvl w:val="1"/>
          <w:numId w:val="12"/>
        </w:numPr>
        <w:tabs>
          <w:tab w:val="left" w:pos="720"/>
        </w:tabs>
        <w:spacing w:before="120" w:after="120"/>
        <w:ind w:left="720"/>
        <w:contextualSpacing w:val="0"/>
      </w:pPr>
      <w:r>
        <w:rPr>
          <w:b/>
          <w:bCs/>
          <w:sz w:val="20"/>
          <w:szCs w:val="20"/>
        </w:rPr>
        <w:t>Szenarien für mehrere Nutzungen.</w:t>
      </w:r>
    </w:p>
    <w:p w14:paraId="1D1C19C2" w14:textId="5BF802A3" w:rsidR="00F07769" w:rsidRPr="00583E0B" w:rsidRDefault="00C5586D" w:rsidP="009A7D95">
      <w:pPr>
        <w:pStyle w:val="ListParagraph"/>
        <w:numPr>
          <w:ilvl w:val="2"/>
          <w:numId w:val="12"/>
        </w:numPr>
        <w:tabs>
          <w:tab w:val="left" w:pos="1080"/>
        </w:tabs>
        <w:spacing w:before="120" w:after="120"/>
        <w:ind w:left="1080" w:hanging="360"/>
        <w:contextualSpacing w:val="0"/>
      </w:pPr>
      <w:r>
        <w:rPr>
          <w:b/>
          <w:sz w:val="20"/>
          <w:szCs w:val="20"/>
        </w:rPr>
        <w:t>Mehrere Versionen.</w:t>
      </w:r>
      <w:r>
        <w:rPr>
          <w:sz w:val="20"/>
          <w:szCs w:val="20"/>
        </w:rPr>
        <w:t xml:space="preserve"> Wenn Sie beim Erwerb der Software mehrere Versionen (z. B. 32-Bit- und 64-Bit-Versionen) erhalten haben, dürfen Sie jeweils nur eine dieser Versionen installieren und aktivieren.</w:t>
      </w:r>
    </w:p>
    <w:p w14:paraId="6FC6C02A" w14:textId="08E8BCB1" w:rsidR="00872FAC" w:rsidRPr="00583E0B" w:rsidRDefault="00C5586D" w:rsidP="009A7D95">
      <w:pPr>
        <w:pStyle w:val="ListParagraph"/>
        <w:numPr>
          <w:ilvl w:val="2"/>
          <w:numId w:val="12"/>
        </w:numPr>
        <w:tabs>
          <w:tab w:val="left" w:pos="1080"/>
        </w:tabs>
        <w:spacing w:before="120" w:after="120"/>
        <w:ind w:left="1080" w:hanging="360"/>
        <w:contextualSpacing w:val="0"/>
      </w:pPr>
      <w:r>
        <w:rPr>
          <w:b/>
          <w:sz w:val="20"/>
          <w:szCs w:val="20"/>
        </w:rPr>
        <w:t>Mehrere oder gepoolte Verbindungen.</w:t>
      </w:r>
      <w:r>
        <w:rPr>
          <w:sz w:val="20"/>
          <w:szCs w:val="20"/>
        </w:rPr>
        <w:t xml:space="preserve"> Sie sind nicht berechtigt, Hard- oder Software zu nutzen, um Verbindungen zu multiplexieren oder zu bündeln oder anderweitig mehreren Nutzern oder mehreren Computern oder Geräten den Zugriff auf oder die Nutzung der Software indirekt über den lizenzierten Computer zu ermöglichen.</w:t>
      </w:r>
    </w:p>
    <w:p w14:paraId="2B9078E3" w14:textId="4A5B8194" w:rsidR="00F11641" w:rsidRPr="00583E0B" w:rsidRDefault="00F11641" w:rsidP="009A7D95">
      <w:pPr>
        <w:pStyle w:val="ListParagraph"/>
        <w:numPr>
          <w:ilvl w:val="2"/>
          <w:numId w:val="12"/>
        </w:numPr>
        <w:tabs>
          <w:tab w:val="left" w:pos="1080"/>
        </w:tabs>
        <w:spacing w:before="120" w:after="120"/>
        <w:ind w:left="1080" w:hanging="360"/>
        <w:contextualSpacing w:val="0"/>
      </w:pPr>
      <w:r>
        <w:rPr>
          <w:b/>
          <w:sz w:val="20"/>
          <w:szCs w:val="20"/>
        </w:rPr>
        <w:t>Nutzung in einer virtualisierten Umgebung.</w:t>
      </w:r>
      <w:r>
        <w:rPr>
          <w:sz w:val="20"/>
          <w:szCs w:val="20"/>
        </w:rPr>
        <w:t xml:space="preserve"> Diese Lizenz erlaubt es Ihnen, nur eine Instanz der Software zur Verwendung auf einem Gerät zu installieren, unabhängig davon, ob es sich bei diesem Gerät um ein physisches oder virtuelles Gerät handelt. Wenn Sie die Software auf mehr als einem virtuellen Gerät nutzen möchten, müssen Sie für jede Instanz eine separate Lizenz erwerben.</w:t>
      </w:r>
    </w:p>
    <w:p w14:paraId="4E208616" w14:textId="4D7331D7" w:rsidR="00993A79" w:rsidRPr="00583E0B" w:rsidRDefault="00993A79" w:rsidP="009A7D95">
      <w:pPr>
        <w:pStyle w:val="ListParagraph"/>
        <w:numPr>
          <w:ilvl w:val="2"/>
          <w:numId w:val="12"/>
        </w:numPr>
        <w:tabs>
          <w:tab w:val="left" w:pos="1080"/>
        </w:tabs>
        <w:spacing w:before="120" w:after="120"/>
        <w:ind w:left="1080" w:hanging="360"/>
        <w:contextualSpacing w:val="0"/>
      </w:pPr>
      <w:r>
        <w:rPr>
          <w:b/>
          <w:sz w:val="20"/>
          <w:szCs w:val="20"/>
        </w:rPr>
        <w:t>Remotezugriff.</w:t>
      </w:r>
      <w:r>
        <w:rPr>
          <w:sz w:val="20"/>
          <w:szCs w:val="20"/>
        </w:rPr>
        <w:t xml:space="preserve"> Sie sind berechtigt, mithilfe von Remotezugriffstechnologien auf die auf dem lizenzierten Gerät installierte Software von einem anderen Gerät aus zuzugreifen und sie von einem anderen Gerät aus zu nutzen, sofern die auf dem lizenzierten Gerät installierte Software nicht gleichzeitig von einem anderen Benutzer verwendet wird. Andere Benutzer können zu unterschiedlichen Zeiten von einem anderen Gerät aus auf das lizenzierte Gerät zugreifen, wobei Fernzugriffstechnologien verwendet werden, jedoch nur auf Geräten, die separat lizenziert sind, um die gleiche oder eine höhere Version dieser Software auszuführen.</w:t>
      </w:r>
    </w:p>
    <w:p w14:paraId="56E77CEF" w14:textId="063FE98B" w:rsidR="00993A79" w:rsidRPr="00583E0B" w:rsidRDefault="00872FAC" w:rsidP="009A7D95">
      <w:pPr>
        <w:pStyle w:val="ListParagraph"/>
        <w:numPr>
          <w:ilvl w:val="2"/>
          <w:numId w:val="12"/>
        </w:numPr>
        <w:tabs>
          <w:tab w:val="left" w:pos="1080"/>
        </w:tabs>
        <w:spacing w:before="120" w:after="120"/>
        <w:ind w:left="1080" w:hanging="360"/>
        <w:contextualSpacing w:val="0"/>
      </w:pPr>
      <w:r>
        <w:rPr>
          <w:b/>
          <w:sz w:val="20"/>
          <w:szCs w:val="20"/>
        </w:rPr>
        <w:t>Remoteunterstützung.</w:t>
      </w:r>
      <w:r>
        <w:rPr>
          <w:sz w:val="20"/>
          <w:szCs w:val="20"/>
        </w:rPr>
        <w:t xml:space="preserve"> Sie können Remoteunterstützungstechnologien einsetzen, um eine aktive Sitzung gemeinsam zu nutzen, ohne zusätzliche Lizenzen für die Software zu erhalten. Die Remoteunterstützung ermöglicht es einem Nutzer, sich direkt mit dem Gerät eines anderen Nutzers zu verbinden, normalerweise um Probleme zu beheben.</w:t>
      </w:r>
    </w:p>
    <w:p w14:paraId="5E474814" w14:textId="1209A9E7" w:rsidR="000907D6" w:rsidRPr="00583E0B" w:rsidRDefault="00AC5420" w:rsidP="009A7D95">
      <w:pPr>
        <w:pStyle w:val="ListParagraph"/>
        <w:numPr>
          <w:ilvl w:val="1"/>
          <w:numId w:val="12"/>
        </w:numPr>
        <w:tabs>
          <w:tab w:val="left" w:pos="720"/>
        </w:tabs>
        <w:spacing w:before="120" w:after="120"/>
        <w:ind w:left="720"/>
        <w:contextualSpacing w:val="0"/>
      </w:pPr>
      <w:r>
        <w:rPr>
          <w:b/>
          <w:sz w:val="20"/>
          <w:szCs w:val="20"/>
        </w:rPr>
        <w:t xml:space="preserve">Sicherungskopie. </w:t>
      </w:r>
      <w:r>
        <w:rPr>
          <w:sz w:val="20"/>
          <w:szCs w:val="20"/>
        </w:rPr>
        <w:t>Sie können eine Sicherungskopie der Software von (office.com/backup) herunterladen und diese Sicherungskopie nutzen, um die Software, wie weiter unten beschrieben, zu übertragen. Das Recht auf eine Sicherungskopie gilt nicht für die Home Use Program-Software (siehe Abschnitt 13).</w:t>
      </w:r>
    </w:p>
    <w:p w14:paraId="702366B6" w14:textId="2A3AF1A8" w:rsidR="0039417B" w:rsidRPr="00583E0B" w:rsidRDefault="00482AB8" w:rsidP="009A7D95">
      <w:pPr>
        <w:pStyle w:val="ListParagraph"/>
        <w:numPr>
          <w:ilvl w:val="0"/>
          <w:numId w:val="12"/>
        </w:numPr>
        <w:tabs>
          <w:tab w:val="left" w:pos="360"/>
        </w:tabs>
        <w:spacing w:before="120" w:after="120"/>
        <w:ind w:left="360"/>
        <w:contextualSpacing w:val="0"/>
      </w:pPr>
      <w:r>
        <w:rPr>
          <w:b/>
          <w:bCs/>
          <w:sz w:val="20"/>
          <w:szCs w:val="20"/>
        </w:rPr>
        <w:t xml:space="preserve">ÜBERTRAGUNG AUF EINEN DRITTEN. </w:t>
      </w:r>
      <w:r>
        <w:rPr>
          <w:bCs/>
          <w:sz w:val="20"/>
          <w:szCs w:val="20"/>
        </w:rPr>
        <w:t>Die Bestimmungen dieses Abschnitts gelten nicht, wenn Sie die Software im Europäischen Wirtschaftsraum (EWR) erworben haben und sie nur auf eine andere natürliche oder juristische Person innerhalb des EWR übertragen, wobei in diesem Fall eine Übertragung der Software im Rahmen einer Übertragung der integrierten schlüsselfertigen Softwareanwendung oder Anwendungssuite (die „Einheitliche Lösung“), die Ihnen vom oder im Namen des Lizenzgebers ausschließlich als Teil der Einheitlichen Lösung geliefert wurde, sowie das Nutzungsrecht den geltenden Gesetzen entsprechen müssen.</w:t>
      </w:r>
    </w:p>
    <w:p w14:paraId="558F0891" w14:textId="43BF7A34" w:rsidR="004131EE" w:rsidRPr="00583E0B" w:rsidRDefault="0051539A" w:rsidP="009A7D95">
      <w:pPr>
        <w:pStyle w:val="ListParagraph"/>
        <w:numPr>
          <w:ilvl w:val="1"/>
          <w:numId w:val="12"/>
        </w:numPr>
        <w:tabs>
          <w:tab w:val="left" w:pos="720"/>
        </w:tabs>
        <w:spacing w:before="120" w:after="120"/>
        <w:ind w:left="720"/>
        <w:contextualSpacing w:val="0"/>
      </w:pPr>
      <w:r>
        <w:rPr>
          <w:sz w:val="20"/>
          <w:szCs w:val="20"/>
        </w:rPr>
        <w:t xml:space="preserve">Sie sind berechtigt, die Software auf ein anderes Gerät zu übertragen, das Ihnen gehört, jedoch nicht mehr als einmal alle 90 Tage (außer bei Hardwareausfällen; in diesem Fall können Sie die Software früher übertragen). Wenn Sie die Software auf ein anderes Gerät übertragen, wird dieses andere Gerät zum „lizenzierten Gerät“. Sie können die Software auch auf ein Gerät übertragen, das jemand anderem gehört, wenn (i) Sie der lizenzierte Erstnutzer der Software sind, (ii) der neue Nutzer den Bedingungen dieses Vertrags zustimmt und (iii) die Übertragung der Software und der Lizenz Teil einer Übertragung der Einheitlichen Lösung ist, die Ihnen von oder im Namen des Lizenzgebers ausschließlich als Teil der Unified Solution geliefert wird. Der erste Nutzer ist nicht berechtigt, Kopien der Software zurückzubehalten. Vor jeder gestatteten Übertragung muss sich der Endbenutzer damit einverstanden erklären, dass dieser Vertrag für die Übertragung und Verwendung der Software gilt. Wenn es sich bei der Software um ein Upgrade handelt, muss jede </w:t>
      </w:r>
      <w:r>
        <w:rPr>
          <w:sz w:val="20"/>
          <w:szCs w:val="20"/>
        </w:rPr>
        <w:lastRenderedPageBreak/>
        <w:t>Übertragung auch alle früheren Versionen der Software umfassen. Um diese Übertragung durchzuführen, müssen Sie den Originaldatenträger, das Echtheitszertifikat, falls zutreffend, den Produktschlüssel und den Kaufnachweis direkt an diese andere Person übertragen, ohne Kopien der Software aufzubewahren. Jedes Mal, wenn Sie die Software auf ein neues Gerät übertragen, müssen Sie die Software vom vorherigen Gerät entfernen. Sie dürfen die Software nicht übertragen, um Lizenzen zwischen Geräten zu teilen.</w:t>
      </w:r>
    </w:p>
    <w:p w14:paraId="0683C599" w14:textId="4261ABB7" w:rsidR="008917EE" w:rsidRPr="00583E0B" w:rsidRDefault="00A0394E" w:rsidP="009A7D95">
      <w:pPr>
        <w:pStyle w:val="ListParagraph"/>
        <w:numPr>
          <w:ilvl w:val="0"/>
          <w:numId w:val="12"/>
        </w:numPr>
        <w:tabs>
          <w:tab w:val="left" w:pos="360"/>
        </w:tabs>
        <w:spacing w:before="120" w:after="120"/>
        <w:ind w:left="360"/>
        <w:contextualSpacing w:val="0"/>
      </w:pPr>
      <w:r>
        <w:rPr>
          <w:b/>
          <w:bCs/>
          <w:sz w:val="20"/>
          <w:szCs w:val="20"/>
        </w:rPr>
        <w:t>DATENSCHUTZ; ZUSTIMMUNG ZUR DATENVERWENDUNG.</w:t>
      </w:r>
      <w:r>
        <w:rPr>
          <w:bCs/>
          <w:sz w:val="20"/>
          <w:szCs w:val="20"/>
        </w:rPr>
        <w:t xml:space="preserve"> Ihre Privatsphäre ist uns wichtig. Bei der Verwendung einiger Features der Software werden Informationen gesendet oder empfangen. Viele dieser Funktionen können in der Benutzeroberfläche aktiviert oder deaktiviert werden oder Sie können wählen, ob Sie sie nicht nutzen möchten. Durch die Annahme dieses Vertrags und die Nutzung der Software erklären Sie sich damit einverstanden, dass Microsoft die Daten, wie in der Microsoft-Datenschutzerklärung weiter unten </w:t>
      </w:r>
      <w:r>
        <w:rPr>
          <w:sz w:val="20"/>
          <w:szCs w:val="20"/>
        </w:rPr>
        <w:t>(</w:t>
      </w:r>
      <w:hyperlink r:id="rId9" w:history="1">
        <w:r>
          <w:rPr>
            <w:rStyle w:val="Hyperlink"/>
            <w:sz w:val="20"/>
            <w:szCs w:val="20"/>
          </w:rPr>
          <w:t>aka.ms/privacy</w:t>
        </w:r>
      </w:hyperlink>
      <w:r>
        <w:rPr>
          <w:sz w:val="20"/>
          <w:szCs w:val="20"/>
        </w:rPr>
        <w:t>) und in der mit den Softwarefunktionen</w:t>
      </w:r>
      <w:r>
        <w:rPr>
          <w:bCs/>
          <w:sz w:val="20"/>
          <w:szCs w:val="20"/>
        </w:rPr>
        <w:t xml:space="preserve"> verbundenen Benutzeroberfläche beschrieben, sammeln, nutzen und weitergeben darf.</w:t>
      </w:r>
    </w:p>
    <w:p w14:paraId="4F1CB42F" w14:textId="0BD03D69" w:rsidR="0039709A" w:rsidRPr="002953C9" w:rsidRDefault="0039709A" w:rsidP="009A7D95">
      <w:pPr>
        <w:pStyle w:val="ListParagraph"/>
        <w:numPr>
          <w:ilvl w:val="0"/>
          <w:numId w:val="12"/>
        </w:numPr>
        <w:tabs>
          <w:tab w:val="left" w:pos="360"/>
        </w:tabs>
        <w:spacing w:before="120" w:after="120"/>
        <w:ind w:left="360"/>
        <w:contextualSpacing w:val="0"/>
        <w:rPr>
          <w:spacing w:val="-2"/>
        </w:rPr>
      </w:pPr>
      <w:r w:rsidRPr="002953C9">
        <w:rPr>
          <w:b/>
          <w:bCs/>
          <w:spacing w:val="-2"/>
          <w:sz w:val="20"/>
          <w:szCs w:val="20"/>
        </w:rPr>
        <w:t>AUTORISIERTE SOFTWARE UND AKTIVIERUNG.</w:t>
      </w:r>
      <w:r w:rsidRPr="002953C9">
        <w:rPr>
          <w:spacing w:val="-2"/>
          <w:sz w:val="20"/>
          <w:szCs w:val="20"/>
        </w:rPr>
        <w:t xml:space="preserve"> Sie sind nur zur Nutzung dieser Software berechtigt, wenn diese ordnungsgemäß lizenziert ist und wenn die Software mit einem Original-Product Key oder anhand einer anderen autorisierten Methode ordnungsgemäß aktiviert wurde. Wenn Sie während der Nutzung der Software eine Internetverbindung herstellen, kontaktiert die Software automatisch Microsoft bzw. deren verbundenes Unternehmen, um zu bestätigen, dass es sich bei der Software um Original-Software handelt und dass die Lizenz dem lizenzierten Gerät zugeordnet ist. Abhängig von Ihrem geografischen Standort können Sie die Software möglicherweise auch manuell per Internet oder Telefon aktivieren. In beiden Fällen werden bestimmte Informationen übertragen, und es können Internet-, Telefon- und SMS-Gebühren anfallen. Während der Aktivierung (bzw. durch Änderungen an Ihren Gerätekomponenten ausgelösten erneuten Aktivierung) stellt die Software möglicherweise fest, dass die installierte Instanz der Software gefälscht ist, nicht korrekt lizenziert wurde oder nicht autorisierte Änderungen enthält. Wenn die Aktivierung fehlschlägt, versucht die Software, sich selbst zu reparieren, indem sie jede manipulierte Microsoft-Software durch echte Microsoft-Software ersetzt. Wenn Sie die Software über das Internet aktiviert haben, kann es erforderlich sein, dass Sie sich regelmäßig wieder mit dem Internet verbinden müssen, während Sie die Software nutzen, um die mit dem lizenzierten Gerät verbundene Lizenz zu bestätigen; und wenn Sie sich nicht wieder verbinden, kann die Software mit eingeschränkter Funktionalität betrieben werden. Sie erhalten möglicherweise auch Erinnerungen, eine ordnungsgemäße Lizenz für die Software zu beschaffen. Die Aktivierung darf nicht umgangen oder vermieden werden. Bestimmte Aktualisierungen, Support und andere Dienste werden möglicherweise nur Nutzern von originaler Microsoft-Software angeboten.</w:t>
      </w:r>
    </w:p>
    <w:p w14:paraId="18564684" w14:textId="4ED0A163" w:rsidR="0039417B" w:rsidRPr="00583E0B" w:rsidRDefault="008917EE" w:rsidP="009A7D95">
      <w:pPr>
        <w:pStyle w:val="ListParagraph"/>
        <w:numPr>
          <w:ilvl w:val="0"/>
          <w:numId w:val="12"/>
        </w:numPr>
        <w:tabs>
          <w:tab w:val="left" w:pos="360"/>
        </w:tabs>
        <w:spacing w:before="120" w:after="120"/>
        <w:ind w:left="360"/>
        <w:contextualSpacing w:val="0"/>
      </w:pPr>
      <w:r>
        <w:rPr>
          <w:b/>
          <w:bCs/>
          <w:sz w:val="20"/>
          <w:szCs w:val="20"/>
        </w:rPr>
        <w:t xml:space="preserve">AKTUALISIERUNGEN. </w:t>
      </w:r>
      <w:r>
        <w:rPr>
          <w:bCs/>
          <w:sz w:val="20"/>
          <w:szCs w:val="20"/>
        </w:rPr>
        <w:t xml:space="preserve">Die Software sucht regelmäßig nach Softwareaktualisierungen, lädt sie herunter und installiert sie für Sie. </w:t>
      </w:r>
      <w:r>
        <w:rPr>
          <w:sz w:val="20"/>
          <w:szCs w:val="20"/>
        </w:rPr>
        <w:t xml:space="preserve">Sie können Aktualisierungen nur von Microsoft oder autorisierten Quellen beziehen und </w:t>
      </w:r>
      <w:r>
        <w:rPr>
          <w:bCs/>
          <w:sz w:val="20"/>
          <w:szCs w:val="20"/>
        </w:rPr>
        <w:t>durch die Annahme dieses Vertrags erklären Sie sich damit einverstanden, diese Art von automatischen Aktualisierungen ohne weitere Benachrichtigung zu erhalten.</w:t>
      </w:r>
    </w:p>
    <w:p w14:paraId="7EBE76B0" w14:textId="38239772" w:rsidR="00885545" w:rsidRPr="00583E0B" w:rsidRDefault="00885545" w:rsidP="009A7D95">
      <w:pPr>
        <w:pStyle w:val="ListParagraph"/>
        <w:numPr>
          <w:ilvl w:val="0"/>
          <w:numId w:val="12"/>
        </w:numPr>
        <w:tabs>
          <w:tab w:val="left" w:pos="360"/>
        </w:tabs>
        <w:spacing w:before="120" w:after="120"/>
        <w:ind w:left="360"/>
        <w:contextualSpacing w:val="0"/>
      </w:pPr>
      <w:r>
        <w:rPr>
          <w:b/>
          <w:bCs/>
          <w:sz w:val="20"/>
          <w:szCs w:val="20"/>
        </w:rPr>
        <w:t xml:space="preserve">GEOGRAFISCHE EINSCHRÄNKUNGEN UND AUSFUHRBESCHRÄNKUNGEN. </w:t>
      </w:r>
      <w:r>
        <w:rPr>
          <w:bCs/>
          <w:sz w:val="20"/>
          <w:szCs w:val="20"/>
        </w:rPr>
        <w:t>Wenn Ihre Software für die Nutzung in einer bestimmten geografischen Region beschränkt ist, dürfen Sie die Software nur in dieser Region aktivieren. Sie müssen auch alle nationalen und internationalen Exportgesetze und -bestimmungen einhalten, die für die Software gelten, darunter Beschränkungen für Bestimmungsorte, Endbenutzer und Endnutzung. Weitere Informationen zu Ausfuhrbeschränkungen finden Sie unter (</w:t>
      </w:r>
      <w:hyperlink r:id="rId10" w:history="1">
        <w:r>
          <w:rPr>
            <w:rStyle w:val="Hyperlink"/>
            <w:bCs/>
            <w:sz w:val="20"/>
            <w:szCs w:val="20"/>
          </w:rPr>
          <w:t>aka.ms/exporting</w:t>
        </w:r>
      </w:hyperlink>
      <w:r>
        <w:rPr>
          <w:bCs/>
          <w:sz w:val="20"/>
          <w:szCs w:val="20"/>
        </w:rPr>
        <w:t>).</w:t>
      </w:r>
    </w:p>
    <w:p w14:paraId="61F9CCBD" w14:textId="7A748166" w:rsidR="00D95244" w:rsidRPr="00583E0B" w:rsidRDefault="00D95244" w:rsidP="009A7D95">
      <w:pPr>
        <w:pStyle w:val="ListParagraph"/>
        <w:numPr>
          <w:ilvl w:val="0"/>
          <w:numId w:val="12"/>
        </w:numPr>
        <w:tabs>
          <w:tab w:val="left" w:pos="360"/>
        </w:tabs>
        <w:spacing w:before="120" w:after="120"/>
        <w:ind w:left="360"/>
        <w:contextualSpacing w:val="0"/>
      </w:pPr>
      <w:r>
        <w:rPr>
          <w:b/>
          <w:bCs/>
          <w:sz w:val="20"/>
          <w:szCs w:val="20"/>
        </w:rPr>
        <w:t xml:space="preserve">VERBINDLICHES SCHIEDSVERFAHREN UND VERZICHT AUF SAMMELKLAGEN. </w:t>
      </w:r>
      <w:r>
        <w:rPr>
          <w:bCs/>
          <w:sz w:val="20"/>
          <w:szCs w:val="20"/>
        </w:rPr>
        <w:t>Diese Ziffer gilt nur für Sie, wenn Sie in den USA leben (oder im Falle eines Unternehmens dort Ihren Hauptgeschäftssitz haben); sie gilt nicht für Ansässige oder Unternehmen mit Hauptgeschäftssitz außerhalb der USA.</w:t>
      </w:r>
    </w:p>
    <w:p w14:paraId="781B3289" w14:textId="34CC2E4E" w:rsidR="000936BD" w:rsidRPr="00583E0B" w:rsidRDefault="00871D65" w:rsidP="009A7D95">
      <w:pPr>
        <w:spacing w:before="120" w:after="120"/>
        <w:ind w:left="360"/>
      </w:pPr>
      <w:r>
        <w:rPr>
          <w:sz w:val="20"/>
          <w:szCs w:val="20"/>
        </w:rPr>
        <w:t xml:space="preserve">Im Falle einer Streitigkeit erklären Sie und der Lizenzgeber sich bereit, 60 Tage lang zu versuchen, diese informell zu lösen. Wenn eine informelle Lösung nicht zustande kommt, erklären Sie und der Lizenzgeber, dass Sie ein </w:t>
      </w:r>
      <w:r>
        <w:rPr>
          <w:b/>
          <w:sz w:val="20"/>
          <w:szCs w:val="20"/>
        </w:rPr>
        <w:t xml:space="preserve">verbindliches Einzelschiedsverfahren vor der American Arbitration </w:t>
      </w:r>
      <w:r>
        <w:rPr>
          <w:b/>
          <w:sz w:val="20"/>
          <w:szCs w:val="20"/>
        </w:rPr>
        <w:lastRenderedPageBreak/>
        <w:t>Association („AAA“) nach dem Federal Arbitration Act („FAA“) und nicht vor Gericht vor einem Richter oder einer Jury</w:t>
      </w:r>
      <w:r>
        <w:rPr>
          <w:sz w:val="20"/>
          <w:szCs w:val="20"/>
        </w:rPr>
        <w:t xml:space="preserve"> anstrengen wollen. Stattdessen wird ein neutraler Schiedsrichter entscheiden und dessen Entscheidung wird endgültig sein bis auf ein beschränktes Revisionsrecht nach dem FAA. </w:t>
      </w:r>
      <w:r>
        <w:rPr>
          <w:b/>
          <w:sz w:val="20"/>
          <w:szCs w:val="20"/>
        </w:rPr>
        <w:t>Sammelklagen, Schiedsverfahren auf Sammelklagebasis, Klagen im öffentlichen Interesse und alle anderen Verfahren, in denen jemand in repräsentativer Eigenschaft handelt, sind nicht zulässig. Auch die Kombination einzelner Verfahren ohne die Zustimmung aller Beteiligten ist nicht möglich.</w:t>
      </w:r>
    </w:p>
    <w:p w14:paraId="47305204" w14:textId="3562DDB2" w:rsidR="00D95244" w:rsidRPr="002953C9" w:rsidRDefault="000936BD" w:rsidP="009A7D95">
      <w:pPr>
        <w:pStyle w:val="ListParagraph"/>
        <w:numPr>
          <w:ilvl w:val="1"/>
          <w:numId w:val="12"/>
        </w:numPr>
        <w:tabs>
          <w:tab w:val="left" w:pos="720"/>
        </w:tabs>
        <w:spacing w:before="120" w:after="120"/>
        <w:ind w:left="720"/>
        <w:contextualSpacing w:val="0"/>
      </w:pPr>
      <w:r w:rsidRPr="002953C9">
        <w:rPr>
          <w:b/>
          <w:sz w:val="20"/>
          <w:szCs w:val="20"/>
        </w:rPr>
        <w:t>Die Streitigkeiten umfassten alles außer IP.</w:t>
      </w:r>
      <w:r w:rsidRPr="002953C9">
        <w:rPr>
          <w:b/>
          <w:bCs/>
          <w:sz w:val="20"/>
          <w:szCs w:val="20"/>
        </w:rPr>
        <w:t xml:space="preserve"> </w:t>
      </w:r>
      <w:r w:rsidRPr="002953C9">
        <w:rPr>
          <w:bCs/>
          <w:sz w:val="20"/>
          <w:szCs w:val="20"/>
        </w:rPr>
        <w:t>The</w:t>
      </w:r>
      <w:r w:rsidRPr="002953C9">
        <w:rPr>
          <w:sz w:val="20"/>
          <w:szCs w:val="20"/>
        </w:rPr>
        <w:t xml:space="preserve"> Begriff „Streitigkeit“ ist so umfassend wie möglich. Er beinhaltet alle Ansprüche oder Kontroversen zwischen Ihnen und dem </w:t>
      </w:r>
      <w:r w:rsidRPr="002953C9">
        <w:rPr>
          <w:bCs/>
          <w:sz w:val="20"/>
          <w:szCs w:val="20"/>
        </w:rPr>
        <w:t>Lizenzgeber</w:t>
      </w:r>
      <w:r w:rsidRPr="002953C9">
        <w:rPr>
          <w:sz w:val="20"/>
          <w:szCs w:val="20"/>
        </w:rPr>
        <w:t xml:space="preserve"> oder Ihnen und Microsoft in Bezug auf die Software, deren Preis, Werbung, Marketing, Kommunikation, Ihre Kauftransaktion, Rechnungsstellung oder diesen Vertrag, auf welcher rechtlichen Grundlage auch immer, einschließlich Vertrag, Garantie, unerlaubter Handlung, Satzung oder Vorschrift, </w:t>
      </w:r>
      <w:r w:rsidRPr="002953C9">
        <w:rPr>
          <w:b/>
          <w:sz w:val="20"/>
          <w:szCs w:val="20"/>
        </w:rPr>
        <w:t>mit Ausnahme von Streitigkeiten in Bezug auf die Durchsetzung oder Gültigkeit Ihrer Rechte, der Rechte Ihrer Lizenzgeber, der Rechte von Microsoft oder der Rechte der Lizenzgeber von Microsoft an geistigem Eigentum.</w:t>
      </w:r>
    </w:p>
    <w:p w14:paraId="23C737C0" w14:textId="4A8B948E" w:rsidR="00D95244" w:rsidRPr="002953C9" w:rsidRDefault="000936BD" w:rsidP="002953C9">
      <w:pPr>
        <w:pStyle w:val="ListParagraph"/>
        <w:numPr>
          <w:ilvl w:val="1"/>
          <w:numId w:val="12"/>
        </w:numPr>
        <w:tabs>
          <w:tab w:val="left" w:pos="720"/>
        </w:tabs>
        <w:spacing w:before="120" w:after="120"/>
        <w:ind w:left="720" w:right="180"/>
        <w:contextualSpacing w:val="0"/>
      </w:pPr>
      <w:r w:rsidRPr="002953C9">
        <w:rPr>
          <w:b/>
          <w:sz w:val="20"/>
          <w:szCs w:val="20"/>
        </w:rPr>
        <w:t>Versenden Sie eine</w:t>
      </w:r>
      <w:r w:rsidRPr="002953C9">
        <w:rPr>
          <w:sz w:val="20"/>
          <w:szCs w:val="20"/>
        </w:rPr>
        <w:t xml:space="preserve"> </w:t>
      </w:r>
      <w:r w:rsidRPr="002953C9">
        <w:rPr>
          <w:b/>
          <w:sz w:val="20"/>
          <w:szCs w:val="20"/>
        </w:rPr>
        <w:t>Streitverkündung zuerst.</w:t>
      </w:r>
      <w:r w:rsidRPr="002953C9">
        <w:rPr>
          <w:sz w:val="20"/>
          <w:szCs w:val="20"/>
        </w:rPr>
        <w:t xml:space="preserve"> Wenn Sie eine Rechtsstreitigkeit mit dem Lizenzgeber haben, senden Sie eine Benachrichtigung über die Rechtsstreitigkeit per US-Post an den Lizenzgeber, z. H.: RECHTSABTEILUNG des Herstellers bzw. Installationsunternehmens. Nach 60 Tagen können Sie oder wir ein Schiedsverfahren einleiten, wenn die Streitigkeit nicht beigelegt ist.</w:t>
      </w:r>
    </w:p>
    <w:p w14:paraId="2CB2817D" w14:textId="181929ED" w:rsidR="00D95244" w:rsidRPr="002953C9" w:rsidRDefault="00D95244" w:rsidP="009A7D95">
      <w:pPr>
        <w:pStyle w:val="ListParagraph"/>
        <w:numPr>
          <w:ilvl w:val="1"/>
          <w:numId w:val="12"/>
        </w:numPr>
        <w:tabs>
          <w:tab w:val="left" w:pos="720"/>
        </w:tabs>
        <w:spacing w:before="120" w:after="120"/>
        <w:ind w:left="720"/>
        <w:contextualSpacing w:val="0"/>
      </w:pPr>
      <w:r w:rsidRPr="002953C9">
        <w:rPr>
          <w:b/>
          <w:sz w:val="20"/>
          <w:szCs w:val="20"/>
        </w:rPr>
        <w:t>Bagatellgerichtsoption.</w:t>
      </w:r>
      <w:r w:rsidRPr="002953C9">
        <w:rPr>
          <w:sz w:val="20"/>
          <w:szCs w:val="20"/>
        </w:rPr>
        <w:t xml:space="preserve"> Anstatt eine Streitverkündung zu versenden, können Sie vor Bagatellgerichten in Ihrem Wohnsitzland (oder, wenn es sich um ein Unternehmen handelt, an Ihrem Hauptgeschäftssitz) oder am Hauptgeschäftssitz des Lizenzgebers klagen.</w:t>
      </w:r>
    </w:p>
    <w:p w14:paraId="35CDB44C" w14:textId="2819794E" w:rsidR="000936BD" w:rsidRPr="002953C9" w:rsidRDefault="00D95244" w:rsidP="009A7D95">
      <w:pPr>
        <w:pStyle w:val="ListParagraph"/>
        <w:numPr>
          <w:ilvl w:val="1"/>
          <w:numId w:val="12"/>
        </w:numPr>
        <w:tabs>
          <w:tab w:val="left" w:pos="720"/>
        </w:tabs>
        <w:spacing w:before="120" w:after="120"/>
        <w:ind w:left="720"/>
        <w:contextualSpacing w:val="0"/>
      </w:pPr>
      <w:r w:rsidRPr="002953C9">
        <w:rPr>
          <w:b/>
          <w:sz w:val="20"/>
          <w:szCs w:val="20"/>
        </w:rPr>
        <w:t xml:space="preserve">Schiedsverfahren. </w:t>
      </w:r>
      <w:r w:rsidRPr="002953C9">
        <w:rPr>
          <w:sz w:val="20"/>
          <w:szCs w:val="20"/>
        </w:rPr>
        <w:t>Die AAA wird jedes Schiedsverfahren nach ihren Regeln der Handelsschiedsgerichtsbarkeit durchführen (oder nach ihren Regeln der Verbraucherschiedsgerichtsbarkeit, wenn Sie eine Einzelperson sind und die Software für den persönlichen oder Haushaltsgebrauch nutzen, oder wenn der Streitwert 75</w:t>
      </w:r>
      <w:r w:rsidR="005260F1">
        <w:rPr>
          <w:sz w:val="20"/>
          <w:szCs w:val="20"/>
        </w:rPr>
        <w:t>.</w:t>
      </w:r>
      <w:r w:rsidRPr="002953C9">
        <w:rPr>
          <w:sz w:val="20"/>
          <w:szCs w:val="20"/>
        </w:rPr>
        <w:t>000 US-$ oder weniger beträgt, unabhängig davon, ob Sie eine Einzelperson sind oder wie Sie die Software nutzen). Weitere Informationen stehen Ihnen unter (</w:t>
      </w:r>
      <w:hyperlink r:id="rId11" w:history="1">
        <w:r w:rsidRPr="002953C9">
          <w:rPr>
            <w:rStyle w:val="Hyperlink"/>
            <w:sz w:val="20"/>
            <w:szCs w:val="20"/>
          </w:rPr>
          <w:t>aka.ms/adr</w:t>
        </w:r>
      </w:hyperlink>
      <w:r w:rsidRPr="002953C9">
        <w:rPr>
          <w:sz w:val="20"/>
          <w:szCs w:val="20"/>
        </w:rPr>
        <w:t>) oder der Telefonnummer 1-800-778-7879 zur Verfügung. Um ein Schiedsverfahren einzuleiten, reichen Sie das unter (</w:t>
      </w:r>
      <w:hyperlink r:id="rId12" w:history="1">
        <w:r w:rsidRPr="002953C9">
          <w:rPr>
            <w:rStyle w:val="Hyperlink"/>
            <w:sz w:val="20"/>
            <w:szCs w:val="20"/>
          </w:rPr>
          <w:t>aka.ms/arbitration</w:t>
        </w:r>
      </w:hyperlink>
      <w:r w:rsidRPr="002953C9">
        <w:rPr>
          <w:sz w:val="20"/>
          <w:szCs w:val="20"/>
        </w:rPr>
        <w:t>) verfügbare Formular bei der AAA ein. Senden Sie eine Kopie an den Lizenzgeber. Bei einem Streitwert bis zu maximal 25.000 USD finden alle Anhörungen telefonisch statt, es sei denn, der Schiedsrichter sieht einen wichtigen Grund dafür, stattdessen eine persönliche Anhörung durchzuführen. Jede persönliche Anhörung findet an Ihrem Wohnsitz (oder im Fall eines Unternehmens, an Ihrem Hauptgeschäftssitz) oder am Hauptgeschäftssitz des Lizenzgebers statt. Der Schiedsrichter kann Ihnen individuell dieselbe Entschädigung zusprechen wie dies ein Gericht könnte. Der Schiedsrichter kann Erklärungs- oder Unterlassungsansprüche nur an Sie einzeln vergeben, um Ihre individuelle Forderung zu erfüllen. Gemäß den AAA-Regeln entscheidet der Schiedsrichter über seine eigene Zuständigkeit, einschließlich der Schiedsfähigkeit von Ansprüchen. Ein Gericht hat jedoch die ausschließliche Befugnis, das Verbot des Schiedsgerichtsverfahrens auf Sammelklagebasis oder in repräsentativer Funktion durchzusetzen.</w:t>
      </w:r>
    </w:p>
    <w:p w14:paraId="143D705D" w14:textId="2CD72FEE"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Schiedsgebühren und Zahlungen</w:t>
      </w:r>
      <w:r>
        <w:rPr>
          <w:b/>
          <w:bCs/>
          <w:sz w:val="20"/>
          <w:szCs w:val="20"/>
        </w:rPr>
        <w:t>.</w:t>
      </w:r>
    </w:p>
    <w:p w14:paraId="140C6925" w14:textId="23960F28" w:rsidR="00D95244" w:rsidRPr="00583E0B" w:rsidRDefault="00D95244" w:rsidP="009A7D95">
      <w:pPr>
        <w:pStyle w:val="ListParagraph"/>
        <w:numPr>
          <w:ilvl w:val="2"/>
          <w:numId w:val="12"/>
        </w:numPr>
        <w:tabs>
          <w:tab w:val="left" w:pos="1080"/>
        </w:tabs>
        <w:spacing w:before="120" w:after="120"/>
        <w:ind w:left="1080" w:hanging="360"/>
        <w:contextualSpacing w:val="0"/>
      </w:pPr>
      <w:r>
        <w:rPr>
          <w:b/>
          <w:sz w:val="20"/>
          <w:szCs w:val="20"/>
        </w:rPr>
        <w:t>Streitigkeiten, die 75</w:t>
      </w:r>
      <w:r w:rsidR="005260F1">
        <w:rPr>
          <w:b/>
          <w:sz w:val="20"/>
          <w:szCs w:val="20"/>
        </w:rPr>
        <w:t>.</w:t>
      </w:r>
      <w:r>
        <w:rPr>
          <w:b/>
          <w:sz w:val="20"/>
          <w:szCs w:val="20"/>
        </w:rPr>
        <w:t>000 US-$ oder weniger betreffen</w:t>
      </w:r>
      <w:r w:rsidRPr="005260F1">
        <w:rPr>
          <w:b/>
          <w:sz w:val="20"/>
          <w:szCs w:val="20"/>
        </w:rPr>
        <w:t>.</w:t>
      </w:r>
      <w:r>
        <w:rPr>
          <w:sz w:val="20"/>
          <w:szCs w:val="20"/>
        </w:rPr>
        <w:t xml:space="preserve"> Der Lizenzgeber erstattet umgehend Ihre Gerichtsgebühren und zahlt die Gebühren und Unkosten der AAA und des Schiedsrichters. Wenn Sie das letzte schriftliche Beilegungsangebot des Lizenzgebers vor Benennung des Schiedsrichters ablehnen, wird die Verhandlung über die Rechtsstreitigkeit bis zu einer Schiedsrichterentscheidung (als „Schiedsspruch“ bezeichnet) weitergeführt; wenn der Schiedsrichter Ihnen mehr als das letzte schriftliche Angebot zuspricht, verfährt der Lizenzgeber wie folgt: (1) Zahlung der durch den Schiedsspruch festgelegten Summe oder Zahlung von 1.000 USD, wobei der höhere Betrag maßgeblich ist, (2) Zahlung Ihrer </w:t>
      </w:r>
      <w:r>
        <w:rPr>
          <w:sz w:val="20"/>
          <w:szCs w:val="20"/>
        </w:rPr>
        <w:lastRenderedPageBreak/>
        <w:t>angemessenen Anwaltsgebühren, sofern zutreffend, und (3) Erstattung sämtlicher Ausgaben (einschließlich Gebühren und Kosten für Sachverständige), die Ihrem Anwalt in vernünftiger Weise bei der Untersuchung, Vorbereitung und Durchsetzung Ihres Anspruchs im Schiedsgerichtsverfahren entstanden sind.</w:t>
      </w:r>
    </w:p>
    <w:p w14:paraId="7B673049" w14:textId="462A2D39" w:rsidR="00603454" w:rsidRPr="00583E0B" w:rsidRDefault="00D95244" w:rsidP="009A7D95">
      <w:pPr>
        <w:pStyle w:val="ListParagraph"/>
        <w:numPr>
          <w:ilvl w:val="2"/>
          <w:numId w:val="12"/>
        </w:numPr>
        <w:tabs>
          <w:tab w:val="left" w:pos="1080"/>
        </w:tabs>
        <w:spacing w:before="120" w:after="120"/>
        <w:ind w:left="1080" w:hanging="360"/>
        <w:contextualSpacing w:val="0"/>
      </w:pPr>
      <w:r>
        <w:rPr>
          <w:b/>
          <w:sz w:val="20"/>
          <w:szCs w:val="20"/>
        </w:rPr>
        <w:t>Rechtsstreitigkeiten mit einem Streitwert von über 75.000 USD.</w:t>
      </w:r>
      <w:r>
        <w:rPr>
          <w:sz w:val="20"/>
          <w:szCs w:val="20"/>
        </w:rPr>
        <w:t xml:space="preserve"> Die AAA-Regeln bestimmen die Zahlung der Anmeldegebühren und der Gebühren und Auslagen der AAA und des Schiedsrichters.</w:t>
      </w:r>
    </w:p>
    <w:p w14:paraId="62BBAF1D" w14:textId="7E6A13FA" w:rsidR="00D95244" w:rsidRPr="00583E0B" w:rsidRDefault="00A57127" w:rsidP="009A7D95">
      <w:pPr>
        <w:pStyle w:val="ListParagraph"/>
        <w:numPr>
          <w:ilvl w:val="1"/>
          <w:numId w:val="12"/>
        </w:numPr>
        <w:tabs>
          <w:tab w:val="left" w:pos="720"/>
        </w:tabs>
        <w:spacing w:before="120" w:after="120"/>
        <w:ind w:left="720"/>
        <w:contextualSpacing w:val="0"/>
      </w:pPr>
      <w:r>
        <w:rPr>
          <w:b/>
          <w:sz w:val="20"/>
          <w:szCs w:val="20"/>
        </w:rPr>
        <w:t>Muss innerhalb eines Jahres eingereicht werden.</w:t>
      </w:r>
      <w:r>
        <w:rPr>
          <w:bCs/>
          <w:sz w:val="20"/>
          <w:szCs w:val="20"/>
        </w:rPr>
        <w:t xml:space="preserve"> </w:t>
      </w:r>
      <w:r>
        <w:rPr>
          <w:sz w:val="20"/>
          <w:szCs w:val="20"/>
        </w:rPr>
        <w:t>Sie und der Lizenzgeber müssen alle Ansprüche oder Streitigkeiten (mit Ausnahme von Streitigkeiten über geistiges Eigentum – siehe Abschnitt 8.a) innerhalb eines Jahres ab dem Zeitpunkt, zu dem sie zum ersten Mal eingereicht werden konnten, vor einem Bagatell- oder Schiedsgericht einklagen. Andernfalls sind sie unwiderruflich verjährt.</w:t>
      </w:r>
    </w:p>
    <w:p w14:paraId="5539E525" w14:textId="2F6C781A"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Salvatorische Klausel</w:t>
      </w:r>
      <w:r w:rsidRPr="005260F1">
        <w:rPr>
          <w:b/>
          <w:sz w:val="20"/>
          <w:szCs w:val="20"/>
        </w:rPr>
        <w:t>.</w:t>
      </w:r>
      <w:r>
        <w:rPr>
          <w:sz w:val="20"/>
          <w:szCs w:val="20"/>
        </w:rPr>
        <w:t xml:space="preserve"> Wenn ein Teil von Abschnitt 8 (Verbindliches Schiedsverfahren und Verzicht auf Sammelklagen) für illegal oder nicht durchsetzbar befunden wird, bleibt der Rest in Kraft (mit einem Schiedsspruch, der vor Beginn eines Gerichtsverfahrens erlassen wird), mit der Ausnahme, dass, wenn eine Feststellung der teilweisen Rechtswidrigkeit oder Nichtdurchsetzbarkeit ein sammelklagebasiertes oder repräsentatives Schiedsverfahren ermöglichen würde, Abschnitt 8 in seiner Gesamtheit nicht durchsetzbar sein wird.</w:t>
      </w:r>
    </w:p>
    <w:p w14:paraId="5557D8E3" w14:textId="21C67253" w:rsidR="004F6A1F" w:rsidRPr="00583E0B" w:rsidRDefault="004F6A1F" w:rsidP="009A7D95">
      <w:pPr>
        <w:pStyle w:val="ListParagraph"/>
        <w:numPr>
          <w:ilvl w:val="1"/>
          <w:numId w:val="12"/>
        </w:numPr>
        <w:tabs>
          <w:tab w:val="left" w:pos="720"/>
        </w:tabs>
        <w:spacing w:before="120" w:after="120"/>
        <w:ind w:left="720"/>
        <w:contextualSpacing w:val="0"/>
      </w:pPr>
      <w:r>
        <w:rPr>
          <w:b/>
          <w:sz w:val="20"/>
          <w:szCs w:val="20"/>
        </w:rPr>
        <w:t>Widerspruch zur Schiedsordnung der AAA.</w:t>
      </w:r>
      <w:r>
        <w:rPr>
          <w:sz w:val="20"/>
          <w:szCs w:val="20"/>
        </w:rPr>
        <w:t xml:space="preserve"> Dieser Vertrag gilt, wenn er im Widerspruch zu den Regeln der Handels- oder Verbraucherschiedsgerichtsbarkeit der AAA steht.</w:t>
      </w:r>
    </w:p>
    <w:p w14:paraId="29188EB7" w14:textId="27CF9A38"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Microsoft als Drittbegünstigte.</w:t>
      </w:r>
      <w:r>
        <w:rPr>
          <w:sz w:val="20"/>
          <w:szCs w:val="20"/>
        </w:rPr>
        <w:t xml:space="preserve"> Microsoft ist keine Partei dieses Vertrags, sondern eine Drittbegünstigte Ihres Vertrags mit dem Lizenzgeber, um Streitigkeiten durch informelle Verhandlungen und Schiedsverfahren beizulegen.</w:t>
      </w:r>
    </w:p>
    <w:p w14:paraId="733B02DC" w14:textId="7A035AFB" w:rsidR="00FF0E3F" w:rsidRPr="00583E0B" w:rsidRDefault="0093375D" w:rsidP="009A7D95">
      <w:pPr>
        <w:pStyle w:val="ListParagraph"/>
        <w:numPr>
          <w:ilvl w:val="0"/>
          <w:numId w:val="12"/>
        </w:numPr>
        <w:tabs>
          <w:tab w:val="left" w:pos="360"/>
        </w:tabs>
        <w:spacing w:before="120" w:after="120"/>
        <w:ind w:left="360"/>
        <w:contextualSpacing w:val="0"/>
      </w:pPr>
      <w:r>
        <w:rPr>
          <w:b/>
          <w:bCs/>
          <w:sz w:val="20"/>
          <w:szCs w:val="20"/>
        </w:rPr>
        <w:t>ANWENDBARES RECHT.</w:t>
      </w:r>
      <w:r>
        <w:rPr>
          <w:bCs/>
          <w:sz w:val="20"/>
          <w:szCs w:val="20"/>
        </w:rPr>
        <w:t xml:space="preserve"> Die Gesetze des Staates oder Landes, in dem Sie leben (oder im Fall eines Unternehmens Ihren Hauptgeschäftssitz haben), regeln alle Ansprüche und Rechtsstreitigkeiten bezüglich der Software, ihres Preise oder dieses Vertrags, einschließlich Ansprüche wegen Vertragsbruch und Ansprüche unter Verbraucherschutzgesetzen, Gesetzen über unlauteren Wettbewerb, konkludente Gewährleistungen, unzulässiger Bereicherung und unerlaubte Handlungen, ungeachtet der Bestimmungen des internationalen Privatrechts, mit der Ausnahme, dass alle Bestimmungen hinsichtlich Schiedsgerichtsverfahren dem FAA unterliegen.</w:t>
      </w:r>
    </w:p>
    <w:p w14:paraId="5438C7D3" w14:textId="0A95CFD1" w:rsidR="005C052D" w:rsidRPr="00583E0B" w:rsidRDefault="00DC7115" w:rsidP="009A7D95">
      <w:pPr>
        <w:pStyle w:val="ListParagraph"/>
        <w:numPr>
          <w:ilvl w:val="0"/>
          <w:numId w:val="12"/>
        </w:numPr>
        <w:tabs>
          <w:tab w:val="left" w:pos="360"/>
        </w:tabs>
        <w:spacing w:before="120" w:after="120"/>
        <w:ind w:left="360"/>
        <w:contextualSpacing w:val="0"/>
      </w:pPr>
      <w:r>
        <w:rPr>
          <w:b/>
          <w:bCs/>
          <w:sz w:val="20"/>
          <w:szCs w:val="20"/>
        </w:rPr>
        <w:t>NETZWERKE, DATEN UND INTERNETNUTZUNG.</w:t>
      </w:r>
      <w:r>
        <w:rPr>
          <w:bCs/>
          <w:sz w:val="20"/>
          <w:szCs w:val="20"/>
        </w:rPr>
        <w:t xml:space="preserve"> Für einige Features der Software und Dienste, auf die über die Software zugegriffen wird, kann Internetzugriff des Geräts erforderlich sein. Ihr Zugriff und Ihre Nutzung (einschließlich Gebühren) kann den Bestimmungen des Vertrags mit Ihrem Mobilfunk- bzw. Internetanbieter unterliegen. Bestimmte Features der Software können für einen effizienteren Internetzugriff sorgen; die Nutzungsberechnungen der Software können jedoch von den Messungen Ihres Serviceproviders abweichen. Sie sind immer dafür verantwortlich, (i) die Bestimmungen Ihrer Pläne und Verträge zu verstehen und einzuhalten und (ii) Sie haften für alle Probleme, die sich aus der Nutzung bzw. dem Zugriff auf Netzwerke, einschließlich öffentlicher/offener Netzwerke, ergeben. Sie können die Software nur dann nutzen, wenn Sie die Berechtigung dazu haben, sich mit Netzwerken zu verbinden und Zugriffsdaten über diese Netzwerke auszutauschen.</w:t>
      </w:r>
    </w:p>
    <w:p w14:paraId="1B5B7D54" w14:textId="4FC3C01E" w:rsidR="00182EA5" w:rsidRPr="00583E0B" w:rsidRDefault="007A7A32" w:rsidP="009A7D95">
      <w:pPr>
        <w:pStyle w:val="ListParagraph"/>
        <w:numPr>
          <w:ilvl w:val="0"/>
          <w:numId w:val="12"/>
        </w:numPr>
        <w:tabs>
          <w:tab w:val="left" w:pos="360"/>
        </w:tabs>
        <w:spacing w:before="120" w:after="120"/>
        <w:ind w:left="360"/>
        <w:contextualSpacing w:val="0"/>
      </w:pPr>
      <w:r>
        <w:rPr>
          <w:b/>
          <w:sz w:val="20"/>
          <w:szCs w:val="20"/>
        </w:rPr>
        <w:t xml:space="preserve">VERSIONEN MIT EINGESCHRÄNKTEN RECHTEN. </w:t>
      </w:r>
      <w:r>
        <w:rPr>
          <w:sz w:val="20"/>
          <w:szCs w:val="20"/>
        </w:rPr>
        <w:t>Wenn die von Ihnen erworbene Softwareversion gekennzeichnet oder anderweitig für eine bestimmte oder eingeschränkte Nutzung bestimmt ist, dürfen Sie nur wie angegeben verwenden. Die folgenden Versionen der Software dürfen nicht für kommerzielle, gemeinnützige oder Umsatz generierende Aktivitäten genutzt werden.</w:t>
      </w:r>
    </w:p>
    <w:p w14:paraId="01D92B64" w14:textId="7D04F8F2" w:rsidR="00182EA5" w:rsidRPr="00583E0B" w:rsidRDefault="00182EA5" w:rsidP="009A7D95">
      <w:pPr>
        <w:pStyle w:val="ListParagraph"/>
        <w:numPr>
          <w:ilvl w:val="1"/>
          <w:numId w:val="12"/>
        </w:numPr>
        <w:tabs>
          <w:tab w:val="left" w:pos="720"/>
        </w:tabs>
        <w:spacing w:before="120" w:after="120"/>
        <w:ind w:left="720"/>
        <w:contextualSpacing w:val="0"/>
      </w:pPr>
      <w:r>
        <w:rPr>
          <w:b/>
          <w:sz w:val="20"/>
          <w:szCs w:val="20"/>
        </w:rPr>
        <w:t>Academic oder University.</w:t>
      </w:r>
      <w:r>
        <w:rPr>
          <w:sz w:val="20"/>
          <w:szCs w:val="20"/>
        </w:rPr>
        <w:t xml:space="preserve"> Für akademische Nutzung müssen Sie zum Kaufzeitpunkt Student, wissenschaftlicher oder sonstiger Mitarbeiter einer Bildungseinrichtung sein.</w:t>
      </w:r>
    </w:p>
    <w:p w14:paraId="2DF2D620" w14:textId="5F6DD518" w:rsidR="006872C3" w:rsidRPr="00583E0B" w:rsidRDefault="00D02BB0" w:rsidP="009A7D95">
      <w:pPr>
        <w:pStyle w:val="ListParagraph"/>
        <w:numPr>
          <w:ilvl w:val="1"/>
          <w:numId w:val="12"/>
        </w:numPr>
        <w:tabs>
          <w:tab w:val="left" w:pos="720"/>
        </w:tabs>
        <w:spacing w:before="120" w:after="120"/>
        <w:ind w:left="720"/>
        <w:contextualSpacing w:val="0"/>
      </w:pPr>
      <w:r>
        <w:rPr>
          <w:b/>
          <w:sz w:val="20"/>
          <w:szCs w:val="20"/>
        </w:rPr>
        <w:t>Home and Student.</w:t>
      </w:r>
    </w:p>
    <w:p w14:paraId="2488DC2F" w14:textId="5D7BF127" w:rsidR="00D02BB0" w:rsidRPr="002953C9" w:rsidRDefault="00D02BB0" w:rsidP="009A7D95">
      <w:pPr>
        <w:pStyle w:val="ListParagraph"/>
        <w:numPr>
          <w:ilvl w:val="1"/>
          <w:numId w:val="12"/>
        </w:numPr>
        <w:tabs>
          <w:tab w:val="left" w:pos="720"/>
        </w:tabs>
        <w:spacing w:before="120" w:after="120"/>
        <w:ind w:left="720"/>
        <w:contextualSpacing w:val="0"/>
        <w:rPr>
          <w:spacing w:val="-2"/>
        </w:rPr>
      </w:pPr>
      <w:r w:rsidRPr="002953C9">
        <w:rPr>
          <w:b/>
          <w:spacing w:val="-2"/>
          <w:sz w:val="20"/>
          <w:szCs w:val="20"/>
        </w:rPr>
        <w:t>Military Appreciation.</w:t>
      </w:r>
      <w:r w:rsidRPr="002953C9">
        <w:rPr>
          <w:spacing w:val="-2"/>
          <w:sz w:val="20"/>
          <w:szCs w:val="20"/>
        </w:rPr>
        <w:t xml:space="preserve"> Um Software zu verwenden, die als „Military Appreciation“ gekennzeichnet </w:t>
      </w:r>
      <w:r w:rsidRPr="002953C9">
        <w:rPr>
          <w:spacing w:val="-2"/>
          <w:sz w:val="20"/>
          <w:szCs w:val="20"/>
        </w:rPr>
        <w:lastRenderedPageBreak/>
        <w:t>ist, müssen Sie ein „Berechtigter Militärbenutzer“ sein. Um ein Qualifizierter Militärischer Nutzer in den Vereinigten Staaten von Amerika zu sein, müssen Sie ein autorisierter Kunde des Streitkräfte-Ladens („Exchange“) in Übereinstimmung mit den geltenden US-Bundesgesetzen und -Vorschriften sein.</w:t>
      </w:r>
    </w:p>
    <w:p w14:paraId="2413083E" w14:textId="5C4B2A14" w:rsidR="00D02BB0" w:rsidRPr="00583E0B" w:rsidRDefault="00D02BB0" w:rsidP="009A7D95">
      <w:pPr>
        <w:pStyle w:val="ListParagraph"/>
        <w:numPr>
          <w:ilvl w:val="1"/>
          <w:numId w:val="12"/>
        </w:numPr>
        <w:tabs>
          <w:tab w:val="left" w:pos="720"/>
        </w:tabs>
        <w:spacing w:before="120" w:after="120"/>
        <w:ind w:left="720"/>
        <w:contextualSpacing w:val="0"/>
      </w:pPr>
      <w:r>
        <w:rPr>
          <w:b/>
          <w:sz w:val="20"/>
          <w:szCs w:val="20"/>
        </w:rPr>
        <w:t>Kanadische Streitkräfte.</w:t>
      </w:r>
      <w:r>
        <w:rPr>
          <w:sz w:val="20"/>
          <w:szCs w:val="20"/>
        </w:rPr>
        <w:t xml:space="preserve"> </w:t>
      </w:r>
      <w:r>
        <w:rPr>
          <w:rFonts w:eastAsia="MS Mincho"/>
          <w:sz w:val="20"/>
          <w:szCs w:val="20"/>
        </w:rPr>
        <w:t>Um als „Canadian Forces Edition“ gekennzeichnete Software zu nutzen, müssen Sie ein „Autorisiertes CANEX-Mitglied“ sein. Von CANEX (kanadischer Streitkräfte-Laden) autorisierte Personen sind:</w:t>
      </w:r>
    </w:p>
    <w:p w14:paraId="5AFB05A4" w14:textId="6762D5F1" w:rsidR="00D974F1" w:rsidRPr="00583E0B" w:rsidRDefault="00D974F1" w:rsidP="009A7D95">
      <w:pPr>
        <w:numPr>
          <w:ilvl w:val="0"/>
          <w:numId w:val="2"/>
        </w:numPr>
        <w:spacing w:before="120" w:after="120"/>
      </w:pPr>
      <w:r>
        <w:rPr>
          <w:rFonts w:eastAsia="MS Mincho"/>
          <w:sz w:val="20"/>
          <w:szCs w:val="20"/>
        </w:rPr>
        <w:t>Mitglieder der Streitkräfte (CAF) (reguläre und Reservertruppen) und deren Familien,</w:t>
      </w:r>
    </w:p>
    <w:p w14:paraId="6B143EA4" w14:textId="21B67F8E" w:rsidR="00D974F1" w:rsidRPr="00583E0B" w:rsidRDefault="00D974F1" w:rsidP="009A7D95">
      <w:pPr>
        <w:numPr>
          <w:ilvl w:val="0"/>
          <w:numId w:val="2"/>
        </w:numPr>
        <w:spacing w:before="120" w:after="120"/>
      </w:pPr>
      <w:r>
        <w:rPr>
          <w:rFonts w:eastAsia="MS Mincho"/>
          <w:sz w:val="20"/>
          <w:szCs w:val="20"/>
        </w:rPr>
        <w:t>Veteranen (ehemalige Mitglieder der CAF) und deren Familien, einschließlich Familienangehörige Verstorbener,</w:t>
      </w:r>
    </w:p>
    <w:p w14:paraId="02B40029" w14:textId="02F4EEA8" w:rsidR="00D974F1" w:rsidRPr="00583E0B" w:rsidRDefault="00D974F1" w:rsidP="009A7D95">
      <w:pPr>
        <w:numPr>
          <w:ilvl w:val="0"/>
          <w:numId w:val="2"/>
        </w:numPr>
        <w:spacing w:before="120" w:after="120"/>
      </w:pPr>
      <w:r>
        <w:rPr>
          <w:rFonts w:eastAsia="MS Mincho"/>
          <w:sz w:val="20"/>
          <w:szCs w:val="20"/>
        </w:rPr>
        <w:t>Mitglieder ausländischer Streitkräfte, die derzeit bei den CAF dienen, und deren Familien,</w:t>
      </w:r>
    </w:p>
    <w:p w14:paraId="4E76CBA2" w14:textId="4FE8223C" w:rsidR="00D974F1" w:rsidRPr="00583E0B" w:rsidRDefault="00D974F1" w:rsidP="009A7D95">
      <w:pPr>
        <w:numPr>
          <w:ilvl w:val="0"/>
          <w:numId w:val="2"/>
        </w:numPr>
        <w:spacing w:before="120" w:after="120"/>
      </w:pPr>
      <w:r>
        <w:rPr>
          <w:rFonts w:eastAsia="MS Mincho"/>
          <w:sz w:val="20"/>
          <w:szCs w:val="20"/>
        </w:rPr>
        <w:t>Derzeitige Mitarbeiter der nicht mit öffentlichen Geldern finanzierten kanadischen Streitkräfte (Non-Public Funds, Canadian Forces – NPF, CF),</w:t>
      </w:r>
    </w:p>
    <w:p w14:paraId="3E6EDC2C" w14:textId="4977429A" w:rsidR="00D974F1" w:rsidRPr="00583E0B" w:rsidRDefault="00D974F1" w:rsidP="009A7D95">
      <w:pPr>
        <w:numPr>
          <w:ilvl w:val="0"/>
          <w:numId w:val="2"/>
        </w:numPr>
        <w:spacing w:before="120" w:after="120"/>
      </w:pPr>
      <w:r>
        <w:rPr>
          <w:rFonts w:eastAsia="MS Mincho"/>
          <w:sz w:val="20"/>
          <w:szCs w:val="20"/>
        </w:rPr>
        <w:t>Derzeitige Mitarbeiter von militärischen Familienressourcenzentren (Military Family Resource Centres, MFRCs),</w:t>
      </w:r>
    </w:p>
    <w:p w14:paraId="3E01580E" w14:textId="7F42F292" w:rsidR="00D974F1" w:rsidRPr="00583E0B" w:rsidRDefault="00D974F1" w:rsidP="009A7D95">
      <w:pPr>
        <w:numPr>
          <w:ilvl w:val="0"/>
          <w:numId w:val="2"/>
        </w:numPr>
        <w:spacing w:before="120" w:after="120"/>
      </w:pPr>
      <w:r>
        <w:rPr>
          <w:rFonts w:eastAsia="MS Mincho"/>
          <w:sz w:val="20"/>
          <w:szCs w:val="20"/>
        </w:rPr>
        <w:t>Derzeitige Beamte des Verteidigungsministeriums (Department of National Defence, DND) und deren Familien,</w:t>
      </w:r>
    </w:p>
    <w:p w14:paraId="549BE348" w14:textId="0A0E7F19" w:rsidR="00D974F1" w:rsidRPr="00583E0B" w:rsidRDefault="00D974F1" w:rsidP="009A7D95">
      <w:pPr>
        <w:numPr>
          <w:ilvl w:val="0"/>
          <w:numId w:val="2"/>
        </w:numPr>
        <w:spacing w:before="120" w:after="120"/>
      </w:pPr>
      <w:r>
        <w:rPr>
          <w:rFonts w:eastAsia="MS Mincho"/>
          <w:sz w:val="20"/>
          <w:szCs w:val="20"/>
        </w:rPr>
        <w:t>Derzeitige und ehemalige Mitglieder der königlichen kanadischen berittenen Polizei (Royal Canadian Mounted Police, RCMP) und deren Familien,</w:t>
      </w:r>
    </w:p>
    <w:p w14:paraId="7B6B24F5" w14:textId="3DDB61B6" w:rsidR="00D974F1" w:rsidRPr="00583E0B" w:rsidRDefault="00D974F1" w:rsidP="009A7D95">
      <w:pPr>
        <w:numPr>
          <w:ilvl w:val="0"/>
          <w:numId w:val="2"/>
        </w:numPr>
        <w:spacing w:before="120" w:after="120"/>
      </w:pPr>
      <w:r>
        <w:rPr>
          <w:rFonts w:eastAsia="MS Mincho"/>
          <w:sz w:val="20"/>
          <w:szCs w:val="20"/>
        </w:rPr>
        <w:t>Derzeitige Mitarbeiter der Verteidigungsforschung und -entwicklung Kanada (Defence Research and Development Canada, DRCD) und deren Familien,</w:t>
      </w:r>
    </w:p>
    <w:p w14:paraId="5875C91B" w14:textId="5609BFDA" w:rsidR="00D974F1" w:rsidRPr="00583E0B" w:rsidRDefault="00D974F1" w:rsidP="009A7D95">
      <w:pPr>
        <w:numPr>
          <w:ilvl w:val="0"/>
          <w:numId w:val="2"/>
        </w:numPr>
        <w:spacing w:before="120" w:after="120"/>
      </w:pPr>
      <w:r>
        <w:rPr>
          <w:rFonts w:eastAsia="MS Mincho"/>
          <w:sz w:val="20"/>
          <w:szCs w:val="20"/>
        </w:rPr>
        <w:t>Derzeitige Mitarbeiter des Verteidigungsaufbaus Kanada (Defence Construction Canada, DCC) und deren Familien,</w:t>
      </w:r>
    </w:p>
    <w:p w14:paraId="39B1059F" w14:textId="00FBE509" w:rsidR="00D974F1" w:rsidRPr="00B66611" w:rsidRDefault="00D974F1" w:rsidP="009A7D95">
      <w:pPr>
        <w:numPr>
          <w:ilvl w:val="0"/>
          <w:numId w:val="2"/>
        </w:numPr>
        <w:spacing w:before="120" w:after="120"/>
        <w:rPr>
          <w:lang w:val="en-US"/>
        </w:rPr>
      </w:pPr>
      <w:r w:rsidRPr="00B66611">
        <w:rPr>
          <w:rFonts w:eastAsia="MS Mincho"/>
          <w:sz w:val="20"/>
          <w:szCs w:val="20"/>
          <w:lang w:val="en-US"/>
        </w:rPr>
        <w:t>Honourary Colonels/Captains(N), Lieutenant Colonels/Commanders und deren Familien,</w:t>
      </w:r>
    </w:p>
    <w:p w14:paraId="5731856B" w14:textId="1DFAF557" w:rsidR="00D974F1" w:rsidRPr="00583E0B" w:rsidRDefault="00D974F1" w:rsidP="009A7D95">
      <w:pPr>
        <w:numPr>
          <w:ilvl w:val="0"/>
          <w:numId w:val="2"/>
        </w:numPr>
        <w:spacing w:before="120" w:after="120"/>
      </w:pPr>
      <w:r>
        <w:rPr>
          <w:rFonts w:eastAsia="MS Mincho"/>
          <w:sz w:val="20"/>
          <w:szCs w:val="20"/>
        </w:rPr>
        <w:t>Familienmitglieder der Mitarbeiter der NPF, CF oder</w:t>
      </w:r>
    </w:p>
    <w:p w14:paraId="53CCD432" w14:textId="42CF6170" w:rsidR="0089137A" w:rsidRPr="00B66611" w:rsidRDefault="00D974F1" w:rsidP="009A7D95">
      <w:pPr>
        <w:numPr>
          <w:ilvl w:val="0"/>
          <w:numId w:val="2"/>
        </w:numPr>
        <w:spacing w:before="120" w:after="120"/>
        <w:rPr>
          <w:lang w:val="en-US"/>
        </w:rPr>
      </w:pPr>
      <w:r w:rsidRPr="00B66611">
        <w:rPr>
          <w:rFonts w:eastAsia="MS Mincho"/>
          <w:sz w:val="20"/>
          <w:szCs w:val="20"/>
          <w:lang w:val="en-US"/>
        </w:rPr>
        <w:t>Familienmitglieder der Military Family Resource Centres (MFRC).</w:t>
      </w:r>
    </w:p>
    <w:p w14:paraId="664633F0" w14:textId="5AFC81DF" w:rsidR="001869A1" w:rsidRPr="00583E0B" w:rsidRDefault="00BC0CE2" w:rsidP="009A7D95">
      <w:pPr>
        <w:pStyle w:val="ListParagraph"/>
        <w:numPr>
          <w:ilvl w:val="0"/>
          <w:numId w:val="12"/>
        </w:numPr>
        <w:tabs>
          <w:tab w:val="left" w:pos="360"/>
        </w:tabs>
        <w:spacing w:before="120" w:after="120"/>
        <w:ind w:left="360"/>
        <w:contextualSpacing w:val="0"/>
      </w:pPr>
      <w:r>
        <w:rPr>
          <w:b/>
          <w:bCs/>
          <w:sz w:val="20"/>
          <w:szCs w:val="20"/>
        </w:rPr>
        <w:t xml:space="preserve">VERBRAUCHERRECHTE; REGIONALE UNTERSCHIEDE. </w:t>
      </w:r>
      <w:r>
        <w:rPr>
          <w:bCs/>
          <w:sz w:val="20"/>
          <w:szCs w:val="20"/>
        </w:rPr>
        <w:t>Dieser Vertrag beschreibt bestimmte Rechtsansprüche. Möglicherweise haben Sie unter den Gesetzen Ihres Staates oder Landes weitergehende Rechte, einschließlich Verbraucherrechte. Möglicherweise verfügen Sie außerdem über Rechte im Hinblick auf die Partei, von der Sie die Software erworben haben. Dieser Vertrag ändert diese anderen Rechte nicht, wenn die Gesetze Ihres Staates oder Landes dies nicht zulassen. Wenn Sie z. B. die Software in einer der unten aufgeführten Regionen erworben haben, oder wenn verbindliche Landesgesetze gelten, dann gelten die folgenden Bestimmungen für Sie:</w:t>
      </w:r>
    </w:p>
    <w:p w14:paraId="637CD023" w14:textId="240F37F5" w:rsidR="00AE3DD3"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Australien. </w:t>
      </w:r>
      <w:r>
        <w:rPr>
          <w:bCs/>
          <w:sz w:val="20"/>
          <w:szCs w:val="20"/>
        </w:rPr>
        <w:t>Diese Gewährleistung wird zusätzlich zu anderen Rechten und Rechtsbehelfen gewährt, die Ihnen nach dem Gesetz zustehen, einschließlich Ihrer Rechte und Rechtsbehelfe in Übereinstimmung mit den Verbrauchergarantien des australischen Verbraucherrechts. Nichts in diesem Vertrag beschränkt oder ändert diese Rechte und Rechtsmittel.</w:t>
      </w:r>
    </w:p>
    <w:p w14:paraId="2E436D9B" w14:textId="1DF5CCE3" w:rsidR="001869A1" w:rsidRPr="00583E0B" w:rsidRDefault="00AE3DD3" w:rsidP="009A7D95">
      <w:pPr>
        <w:tabs>
          <w:tab w:val="left" w:pos="720"/>
        </w:tabs>
        <w:spacing w:before="120" w:after="120"/>
        <w:ind w:left="720"/>
      </w:pPr>
      <w:r>
        <w:rPr>
          <w:bCs/>
          <w:sz w:val="20"/>
          <w:szCs w:val="20"/>
        </w:rPr>
        <w:t>Weitere Informationen zu Ihren Rechten nach dem australischen Verbrauchergesetz finden Sie im Dokument unter (</w:t>
      </w:r>
      <w:hyperlink r:id="rId13" w:history="1">
        <w:r>
          <w:rPr>
            <w:rStyle w:val="Hyperlink"/>
            <w:rFonts w:eastAsia="Times New Roman"/>
            <w:sz w:val="20"/>
            <w:szCs w:val="20"/>
          </w:rPr>
          <w:t>aka.ms/acl</w:t>
        </w:r>
      </w:hyperlink>
      <w:r>
        <w:rPr>
          <w:rFonts w:eastAsia="Times New Roman"/>
          <w:sz w:val="20"/>
          <w:szCs w:val="20"/>
        </w:rPr>
        <w:t>)</w:t>
      </w:r>
      <w:r>
        <w:rPr>
          <w:bCs/>
          <w:sz w:val="20"/>
          <w:szCs w:val="20"/>
        </w:rPr>
        <w:t>.</w:t>
      </w:r>
    </w:p>
    <w:p w14:paraId="6BD0B0F7" w14:textId="7312C04B" w:rsidR="001869A1" w:rsidRPr="00583E0B" w:rsidRDefault="001869A1" w:rsidP="009A7D95">
      <w:pPr>
        <w:tabs>
          <w:tab w:val="left" w:pos="720"/>
        </w:tabs>
        <w:spacing w:before="120" w:after="120"/>
        <w:ind w:left="720"/>
      </w:pPr>
      <w:r>
        <w:rPr>
          <w:bCs/>
          <w:sz w:val="20"/>
          <w:szCs w:val="20"/>
        </w:rPr>
        <w:t>In dieser Ziffer beziehen sich „Waren“ auf die Software, für die Microsoft ausdrücklich eine Garantie gewährt. Unsere Waren verfügen über Garantien, die nach dem australischen Verbraucherrecht nicht ausgeschlossen werden können. Sie haben Anspruch auf Ersatz oder Erstattung bei einem größeren Fehler und auf Ersatz für jeden anderen vernünftigerweise vorhersehbaren Verlust oder Schaden. Sie haben auch das Recht, die Ware reparieren oder ersetzen zu lassen, wenn die Ware nicht von akzeptabler Qualität ist und der Fehler keinen größeren Fehler darstellt.</w:t>
      </w:r>
    </w:p>
    <w:p w14:paraId="4021F5E2" w14:textId="2EBD9329"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lastRenderedPageBreak/>
        <w:t xml:space="preserve">Kanada. </w:t>
      </w:r>
      <w:r>
        <w:rPr>
          <w:bCs/>
          <w:sz w:val="20"/>
          <w:szCs w:val="20"/>
        </w:rPr>
        <w:t>Sie können den Empfang von Aktualisierungen auf Ihrem Gerät einstellen, indem Sie den Internetzugang deaktivieren. Wenn Sie sich wieder mit dem Internet verbinden, wird die Software die Suche nach Aktualisierungen und deren Installation fortsetzen.</w:t>
      </w:r>
    </w:p>
    <w:p w14:paraId="71E2A635" w14:textId="1F95AC11"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Europäische Union. </w:t>
      </w:r>
      <w:r>
        <w:rPr>
          <w:bCs/>
          <w:sz w:val="20"/>
          <w:szCs w:val="20"/>
        </w:rPr>
        <w:t xml:space="preserve">Die Einschränkung der akademischen Nutzung im obigen Abschnitt </w:t>
      </w:r>
      <w:r>
        <w:rPr>
          <w:sz w:val="20"/>
          <w:szCs w:val="20"/>
        </w:rPr>
        <w:t>mit dem Titel „Limited Rights Versions, Academic or University“</w:t>
      </w:r>
      <w:r>
        <w:rPr>
          <w:bCs/>
          <w:sz w:val="20"/>
          <w:szCs w:val="20"/>
        </w:rPr>
        <w:t xml:space="preserve"> gilt möglicherweise nicht für </w:t>
      </w:r>
      <w:r>
        <w:rPr>
          <w:sz w:val="20"/>
          <w:szCs w:val="20"/>
        </w:rPr>
        <w:t xml:space="preserve">Sie. Ihre Nutzungsrechte entsprechen den </w:t>
      </w:r>
      <w:r>
        <w:rPr>
          <w:bCs/>
          <w:sz w:val="20"/>
          <w:szCs w:val="20"/>
        </w:rPr>
        <w:t xml:space="preserve">lokalen </w:t>
      </w:r>
      <w:r>
        <w:rPr>
          <w:sz w:val="20"/>
          <w:szCs w:val="20"/>
        </w:rPr>
        <w:t>Gesetzen, die</w:t>
      </w:r>
      <w:r>
        <w:rPr>
          <w:bCs/>
          <w:sz w:val="20"/>
          <w:szCs w:val="20"/>
        </w:rPr>
        <w:t xml:space="preserve"> einem </w:t>
      </w:r>
      <w:r>
        <w:rPr>
          <w:sz w:val="20"/>
          <w:szCs w:val="20"/>
        </w:rPr>
        <w:t>Wandel</w:t>
      </w:r>
      <w:r>
        <w:rPr>
          <w:bCs/>
          <w:sz w:val="20"/>
          <w:szCs w:val="20"/>
        </w:rPr>
        <w:t xml:space="preserve"> unterliegen.</w:t>
      </w:r>
    </w:p>
    <w:p w14:paraId="1F0F278E" w14:textId="4BF6BA74"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Deutschland und Österreich.</w:t>
      </w:r>
    </w:p>
    <w:p w14:paraId="236D466F" w14:textId="75FABC30" w:rsidR="001869A1" w:rsidRPr="00583E0B" w:rsidRDefault="001869A1" w:rsidP="009A7D95">
      <w:pPr>
        <w:pStyle w:val="ListParagraph"/>
        <w:numPr>
          <w:ilvl w:val="2"/>
          <w:numId w:val="12"/>
        </w:numPr>
        <w:tabs>
          <w:tab w:val="left" w:pos="1080"/>
        </w:tabs>
        <w:spacing w:before="120" w:after="120"/>
        <w:ind w:left="1080" w:hanging="360"/>
        <w:contextualSpacing w:val="0"/>
      </w:pPr>
      <w:r>
        <w:rPr>
          <w:b/>
          <w:sz w:val="20"/>
          <w:szCs w:val="20"/>
        </w:rPr>
        <w:t>Gewährleistung.</w:t>
      </w:r>
      <w:r>
        <w:rPr>
          <w:sz w:val="20"/>
          <w:szCs w:val="20"/>
        </w:rPr>
        <w:t xml:space="preserve"> Die ordnungsgemäß lizenzierte Software verhält sich im Wesentlichen wie in allen Microsoft-Materialien beschrieben, die der Software beiliegen. Der Lizenzgeber und Microsoft geben jedoch keine vertragliche Garantie in Bezug auf die lizenzierte Software.</w:t>
      </w:r>
    </w:p>
    <w:p w14:paraId="3233CD9E" w14:textId="0B2B954C" w:rsidR="001869A1" w:rsidRPr="00583E0B" w:rsidRDefault="001869A1" w:rsidP="009A7D95">
      <w:pPr>
        <w:pStyle w:val="ListParagraph"/>
        <w:numPr>
          <w:ilvl w:val="2"/>
          <w:numId w:val="12"/>
        </w:numPr>
        <w:tabs>
          <w:tab w:val="left" w:pos="1080"/>
        </w:tabs>
        <w:spacing w:before="120" w:after="120"/>
        <w:ind w:left="1080" w:hanging="360"/>
        <w:contextualSpacing w:val="0"/>
      </w:pPr>
      <w:r>
        <w:rPr>
          <w:b/>
          <w:sz w:val="20"/>
          <w:szCs w:val="20"/>
        </w:rPr>
        <w:t>Haftungsbeschränkung</w:t>
      </w:r>
      <w:r w:rsidRPr="005260F1">
        <w:rPr>
          <w:b/>
          <w:sz w:val="20"/>
          <w:szCs w:val="20"/>
        </w:rPr>
        <w:t>.</w:t>
      </w:r>
      <w:r>
        <w:rPr>
          <w:sz w:val="20"/>
          <w:szCs w:val="20"/>
        </w:rPr>
        <w:t xml:space="preserve"> Bei Vorsatz, grober Fahrlässigkeit, Ansprüchen nach dem Produkthaftungsgesetz sowie bei Verletzung von Leben, Körper oder Gesundheit haftet der Lizenzgeber oder Microsoft nach den gesetzlichen Bestimmungen.</w:t>
      </w:r>
    </w:p>
    <w:p w14:paraId="4151E26A" w14:textId="3AD93642" w:rsidR="00623937" w:rsidRPr="00583E0B" w:rsidRDefault="001869A1" w:rsidP="009A7D95">
      <w:pPr>
        <w:tabs>
          <w:tab w:val="left" w:pos="1080"/>
        </w:tabs>
        <w:spacing w:before="120" w:after="120"/>
        <w:ind w:left="1080"/>
      </w:pPr>
      <w:r>
        <w:rPr>
          <w:sz w:val="20"/>
          <w:szCs w:val="20"/>
        </w:rPr>
        <w:t>Vorbehaltlich des vorstehenden Satzes haftet der Lizenzgeber oder Microsoft nur dann für leichte Fahrlässigkeit, wenn der Lizenzgeber oder Microsoft gegen solche wesentlichen Vertragspflichten verstößt, deren Erfüllung die ordnungsgemäße Durchführung dieses Vertrags erleichtert, deren Verletzung den Zweck dieses Vertrags gefährden würde und auf deren Einhaltung eine Partei ständig vertrauen darf (sog. „Kardinalpflichten“). In anderen Fällen leichter Fahrlässigkeit haftet der Lizenzgeber oder Microsoft nicht für leichte Fahrlässigkeit.</w:t>
      </w:r>
    </w:p>
    <w:p w14:paraId="448D04A4" w14:textId="535BC968" w:rsidR="00F001F3" w:rsidRPr="00583E0B" w:rsidRDefault="009835FA" w:rsidP="009A7D95">
      <w:pPr>
        <w:pStyle w:val="ListParagraph"/>
        <w:numPr>
          <w:ilvl w:val="1"/>
          <w:numId w:val="12"/>
        </w:numPr>
        <w:tabs>
          <w:tab w:val="left" w:pos="720"/>
        </w:tabs>
        <w:spacing w:before="120" w:after="120"/>
        <w:ind w:left="720"/>
        <w:contextualSpacing w:val="0"/>
      </w:pPr>
      <w:r>
        <w:rPr>
          <w:b/>
          <w:bCs/>
          <w:sz w:val="20"/>
          <w:szCs w:val="20"/>
        </w:rPr>
        <w:t xml:space="preserve">Japan. </w:t>
      </w:r>
      <w:r>
        <w:rPr>
          <w:bCs/>
          <w:sz w:val="20"/>
          <w:szCs w:val="20"/>
        </w:rPr>
        <w:t>Wenn Sie in Japan wohnen oder die Software während Ihres Aufenthalts in Japan erworben haben, stehen Ihnen die folgenden Rechte zu, sofern Sie alle Bestimmungen dieses Vertrags einhalten: Sie können auch eine zweite Kopie der software auf einem zweiten lizenzierten Gerät für ihren Gebrauch als lizenzierter Nutzer des ersten lizenzierten Geräts installieren und nutzen. Die in Abschnitt 12 genannten nichtkommerziellen Nutzungsbeschränkungen gelten nicht für Ihre Nutzung der Software, wenn Sie in Japan wohnen oder die Software während Ihres Aufenthalts in Japan erworben haben.</w:t>
      </w:r>
    </w:p>
    <w:p w14:paraId="7159BCCE" w14:textId="4D870189" w:rsidR="000D4C0D" w:rsidRPr="00583E0B" w:rsidRDefault="000D4C0D" w:rsidP="009A7D95">
      <w:pPr>
        <w:pStyle w:val="ListParagraph"/>
        <w:numPr>
          <w:ilvl w:val="0"/>
          <w:numId w:val="12"/>
        </w:numPr>
        <w:tabs>
          <w:tab w:val="left" w:pos="360"/>
        </w:tabs>
        <w:spacing w:before="120" w:after="120"/>
        <w:ind w:left="360"/>
        <w:contextualSpacing w:val="0"/>
      </w:pPr>
      <w:r>
        <w:rPr>
          <w:b/>
          <w:sz w:val="20"/>
          <w:szCs w:val="20"/>
        </w:rPr>
        <w:t>HOME USE PROGRAM.</w:t>
      </w:r>
      <w:r>
        <w:rPr>
          <w:bCs/>
          <w:sz w:val="20"/>
          <w:szCs w:val="20"/>
        </w:rPr>
        <w:t xml:space="preserve"> Sie müssen ein „Home Use Program-Nutzer“ sein, um Software zu nutzen, die als „Home Use Program“ bezeichnet wird. Um als Home Use Program-Nutzer zu gelten, müssen Sie beides sein:</w:t>
      </w:r>
    </w:p>
    <w:p w14:paraId="1AAD2F03" w14:textId="57655A90" w:rsidR="000D4C0D" w:rsidRPr="00583E0B" w:rsidRDefault="000D4C0D" w:rsidP="009A7D95">
      <w:pPr>
        <w:pStyle w:val="ListParagraph"/>
        <w:numPr>
          <w:ilvl w:val="1"/>
          <w:numId w:val="12"/>
        </w:numPr>
        <w:tabs>
          <w:tab w:val="left" w:pos="720"/>
        </w:tabs>
        <w:spacing w:before="120" w:after="120"/>
        <w:ind w:left="720"/>
        <w:contextualSpacing w:val="0"/>
      </w:pPr>
      <w:r>
        <w:rPr>
          <w:bCs/>
          <w:sz w:val="20"/>
          <w:szCs w:val="20"/>
        </w:rPr>
        <w:t>ein Mitarbeiter eines Unternehmens, das einen Microsoft-Volumenlizenzvertrag mit aktiver Software-Versicherung hat oder zuvor eine aktive Software-Versicherung hatte und bestimmte andere Kriterien erfüllt, und</w:t>
      </w:r>
    </w:p>
    <w:p w14:paraId="776E751E" w14:textId="3F73C550" w:rsidR="00E347AD" w:rsidRPr="00583E0B" w:rsidRDefault="000D4C0D" w:rsidP="009A7D95">
      <w:pPr>
        <w:pStyle w:val="ListParagraph"/>
        <w:numPr>
          <w:ilvl w:val="1"/>
          <w:numId w:val="12"/>
        </w:numPr>
        <w:tabs>
          <w:tab w:val="left" w:pos="720"/>
        </w:tabs>
        <w:spacing w:before="120" w:after="120"/>
        <w:ind w:left="720"/>
        <w:contextualSpacing w:val="0"/>
      </w:pPr>
      <w:r>
        <w:rPr>
          <w:bCs/>
          <w:sz w:val="20"/>
          <w:szCs w:val="20"/>
        </w:rPr>
        <w:t>der Benutzer einer Kopie der Software oder eines Produkts, das die Software enthält, das im Rahmen seines Volumenlizenzvertrags an Ihren Arbeitgeber lizenziert wird.</w:t>
      </w:r>
    </w:p>
    <w:p w14:paraId="078E6BD3" w14:textId="52F30673" w:rsidR="009729BB" w:rsidRPr="00583E0B" w:rsidRDefault="00A239A3" w:rsidP="009A7D95">
      <w:pPr>
        <w:tabs>
          <w:tab w:val="left" w:pos="360"/>
        </w:tabs>
        <w:spacing w:before="120" w:after="120"/>
        <w:ind w:left="360"/>
      </w:pPr>
      <w:r>
        <w:rPr>
          <w:bCs/>
          <w:sz w:val="20"/>
          <w:szCs w:val="20"/>
        </w:rPr>
        <w:t>Wenn Sie Fragen dazu haben, ob Sie die Kriterien für einen Home Use Program-Nutzer erfüllen, wenden Sie sich an Ihren Arbeitgeber.</w:t>
      </w:r>
    </w:p>
    <w:p w14:paraId="21B52181" w14:textId="49782A24" w:rsidR="00FB7EC9" w:rsidRPr="00583E0B" w:rsidRDefault="00FB7EC9" w:rsidP="009A7D95">
      <w:pPr>
        <w:pStyle w:val="ListParagraph"/>
        <w:numPr>
          <w:ilvl w:val="0"/>
          <w:numId w:val="12"/>
        </w:numPr>
        <w:tabs>
          <w:tab w:val="left" w:pos="360"/>
        </w:tabs>
        <w:spacing w:before="120" w:after="120"/>
        <w:ind w:left="360"/>
        <w:contextualSpacing w:val="0"/>
      </w:pPr>
      <w:r>
        <w:rPr>
          <w:b/>
          <w:bCs/>
          <w:sz w:val="20"/>
          <w:szCs w:val="20"/>
        </w:rPr>
        <w:t xml:space="preserve">LANGUAGE PACKS UND KORREKTURHILFEN. </w:t>
      </w:r>
      <w:r>
        <w:rPr>
          <w:bCs/>
          <w:sz w:val="20"/>
          <w:szCs w:val="20"/>
        </w:rPr>
        <w:t>Wenn Sie ein Sprachpaket oder eine Korrekturhilfe erwerben, das zusätzliche Unterstützung für die Sprachversion der Software bietet, können Sie die zusätzlichen Sprachen verwenden, die in diesem Paket oder Hilfe enthalten sind. Die Sprachpakete und Korrekturhilfen sind Bestandteil der Software und dürfen nicht separat verwendet werden.</w:t>
      </w:r>
    </w:p>
    <w:p w14:paraId="6B2EA4A5" w14:textId="3D67C400" w:rsidR="00041C62" w:rsidRPr="00583E0B" w:rsidRDefault="00140D92" w:rsidP="009A7D95">
      <w:pPr>
        <w:pStyle w:val="ListParagraph"/>
        <w:numPr>
          <w:ilvl w:val="0"/>
          <w:numId w:val="12"/>
        </w:numPr>
        <w:tabs>
          <w:tab w:val="left" w:pos="360"/>
        </w:tabs>
        <w:spacing w:before="120" w:after="120"/>
        <w:ind w:left="360"/>
        <w:contextualSpacing w:val="0"/>
      </w:pPr>
      <w:r>
        <w:rPr>
          <w:b/>
          <w:bCs/>
          <w:sz w:val="20"/>
          <w:szCs w:val="20"/>
        </w:rPr>
        <w:t>VORBEHALT VON RECHTEN UND FEEDBACK.</w:t>
      </w:r>
      <w:r>
        <w:rPr>
          <w:bCs/>
          <w:sz w:val="20"/>
          <w:szCs w:val="20"/>
        </w:rPr>
        <w:t xml:space="preserve"> Sofern nicht ausdrücklich in diesem Vertrag vorgesehen, gewähren der Lizenzgeber und Microsoft Ihnen keine Lizenz oder andere Rechte jeglicher Art aus Patenten, Know-how, Urheberrechten, Geschäftsgeheimnissen, Marken oder anderem geistigen Eigentum, die sich im Besitz von Microsoft oder einem verbundenen Unternehmen befinden oder von diesen kontrolliert werden, einschließlich, aber nicht beschränkt auf Namen, Handelsaufmachung, Logos oder Äquivalente. Wenn Sie Microsoft eine Idee, einen Vorschlag, eine Anregung oder ein Feedback geben, einschließlich, aber nicht beschränkt auf Ideen für neue Produkte, </w:t>
      </w:r>
      <w:r>
        <w:rPr>
          <w:bCs/>
          <w:sz w:val="20"/>
          <w:szCs w:val="20"/>
        </w:rPr>
        <w:lastRenderedPageBreak/>
        <w:t>Technologien, Werbeaktionen, Produktnamen, Produktfeedback und Produktverbesserungen („Feedback“), geben Sie Microsoft kostenlos, gebührenfrei oder in sonstiger Weise das Recht, abgeleitete Werke zu erstellen, erstellt und geschaffen zu haben und Ihr Feedback in jeder Form und für jeden Zweck zu nutzen, zu teilen und zu kommerzialisieren. Sie dürfen kein Feedback geben, das einer Lizenz unterstellt ist, die es erfordern würde, dass Microsoft die eigene Software, die eigenen Technologien oder eigene Dokumentation an Dritte lizenzieren müsste, weil in diese Ihr Feedback eingegangen ist.</w:t>
      </w:r>
    </w:p>
    <w:p w14:paraId="5A57DB31" w14:textId="65ADA2E2" w:rsidR="00885545" w:rsidRPr="00583E0B" w:rsidRDefault="00885545" w:rsidP="009A7D95">
      <w:pPr>
        <w:pStyle w:val="ListParagraph"/>
        <w:numPr>
          <w:ilvl w:val="0"/>
          <w:numId w:val="12"/>
        </w:numPr>
        <w:tabs>
          <w:tab w:val="left" w:pos="360"/>
        </w:tabs>
        <w:spacing w:before="120" w:after="120"/>
        <w:ind w:left="360"/>
        <w:contextualSpacing w:val="0"/>
      </w:pPr>
      <w:r>
        <w:rPr>
          <w:b/>
          <w:bCs/>
          <w:sz w:val="20"/>
          <w:szCs w:val="20"/>
        </w:rPr>
        <w:t>GESAMTER VERTRAG.</w:t>
      </w:r>
      <w:r>
        <w:rPr>
          <w:bCs/>
          <w:sz w:val="20"/>
          <w:szCs w:val="20"/>
        </w:rPr>
        <w:t xml:space="preserve"> Dieser Vertrag (zusammen mit den Lizenzbestimmungen in Papierform oder anderen Bestimmungen, die Softwareergänzungen, -upgrades, -updates und -diensten beiliegen, die vom Lizenzgeber oder von Microsoft bereitgestellt und von Ihnen verwendet werden) sowie die Bestimmungen, die in diesem Vertrag aufgeführten Weblinks enthalten sind, stellen den gesamten Vertrag für die Software sowie derartige Ergänzungen, Updates, Upgrades und Dienste dar (es sei denn, der Lizenzgeber oder Microsoft stellt mit diesen Ergänzungen, Updates, Upgrades oder Diensten andere Bestimmungen zur Verfügung). Sie können die Bestimmungen in jedem der Links in diesem Vertrag nach der Ausführung Ihrer Software einsehen, indem Sie die Internetadressen in eine Browser-Adressleiste eingeben, und Sie stimmen zu, dies zu tun. Sie erklären sich damit einverstanden, die Bestimmungen, einschließlich aller verlinkten Bestimmungen, zu lesen, bevor Sie die Software oder Dienste verwenden. Sie wissen, dass Sie durch die Nutzung der Software und Dienste diesen Vertrag und die verknüpften Bestimmungen ratifizieren. Dieser Vertrag enthält auch informative Links. Die Links mit Hinweisen und verbindlichen Bedingungen sind:</w:t>
      </w:r>
    </w:p>
    <w:p w14:paraId="7780D6BE" w14:textId="612DF884" w:rsidR="00885545" w:rsidRPr="00583E0B" w:rsidRDefault="00FF602D" w:rsidP="009A7D95">
      <w:pPr>
        <w:pStyle w:val="ListParagraph"/>
        <w:numPr>
          <w:ilvl w:val="0"/>
          <w:numId w:val="8"/>
        </w:numPr>
        <w:spacing w:before="120" w:after="120"/>
        <w:ind w:left="720"/>
        <w:contextualSpacing w:val="0"/>
      </w:pPr>
      <w:r>
        <w:rPr>
          <w:sz w:val="20"/>
          <w:szCs w:val="20"/>
        </w:rPr>
        <w:t>Microsoft-Datenschutzerklärung (</w:t>
      </w:r>
      <w:hyperlink r:id="rId14" w:history="1">
        <w:r>
          <w:rPr>
            <w:rStyle w:val="Hyperlink"/>
            <w:sz w:val="20"/>
            <w:szCs w:val="20"/>
          </w:rPr>
          <w:t>aka.ms/privacy</w:t>
        </w:r>
      </w:hyperlink>
      <w:r>
        <w:rPr>
          <w:sz w:val="20"/>
          <w:szCs w:val="20"/>
        </w:rPr>
        <w:t>)</w:t>
      </w:r>
    </w:p>
    <w:p w14:paraId="40691E15" w14:textId="777D2635" w:rsidR="00885545" w:rsidRPr="00583E0B" w:rsidRDefault="00885545" w:rsidP="009A7D95">
      <w:pPr>
        <w:pStyle w:val="ListParagraph"/>
        <w:numPr>
          <w:ilvl w:val="0"/>
          <w:numId w:val="8"/>
        </w:numPr>
        <w:spacing w:before="120" w:after="120"/>
        <w:ind w:left="720"/>
        <w:contextualSpacing w:val="0"/>
      </w:pPr>
      <w:r>
        <w:rPr>
          <w:sz w:val="20"/>
          <w:szCs w:val="20"/>
        </w:rPr>
        <w:t>Microsoft-Dienstleistungsvertrag (</w:t>
      </w:r>
      <w:hyperlink r:id="rId15" w:history="1">
        <w:r>
          <w:rPr>
            <w:rStyle w:val="Hyperlink"/>
            <w:bCs/>
            <w:sz w:val="20"/>
            <w:szCs w:val="20"/>
          </w:rPr>
          <w:t>aka.ms/msa</w:t>
        </w:r>
      </w:hyperlink>
      <w:r>
        <w:rPr>
          <w:bCs/>
          <w:sz w:val="20"/>
          <w:szCs w:val="20"/>
        </w:rPr>
        <w:t>)</w:t>
      </w:r>
    </w:p>
    <w:p w14:paraId="5F926643" w14:textId="25BB23AC"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NICHT FEHLERTOLERANT. DIE SOFTWARE IST NICHT FEHLERTOLERANT. DER LIZENZGEBER HAT SELBSTÄNDIG FESTGELEGT, WIE DIE SOFTWARE IN DER INTEGRIERTEN SOFTWAREANWENDUNG ODER ANWENDUNGSSUITE, DIE ER AN SIE LIZENZIERT, ZU VERWENDEN IST, UND MICROSOFT HAT SICH AUF DEN LIZENZGEBER VERLASSEN, UM AUSREICHENDE TESTS DURCHZUFÜHREN ZWECKS FESTSTELLUNG, OB DIE SOFTWARE FÜR EINE SOLCHE NUTZUNG GEEIGNET IST.</w:t>
      </w:r>
    </w:p>
    <w:p w14:paraId="0E69F4CE" w14:textId="6754AA4A"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KEINE GEWÄHRLEISTUNGEN VON MICROSOFT. 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 MICROSOFT ÜBERNIMMT KEINE STILLSCHWEIGENDE GEWÄHRLEISTUNG DER MARKTGÄNGIGKEIT ODER EINE ANDERE AUSDRÜCKLICHE ODER STILLSCHWEIGENDE GEWÄHRLEISTUNG.</w:t>
      </w:r>
    </w:p>
    <w:p w14:paraId="11E13BDC" w14:textId="790FF4C0"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KEINE HAFTUNG VON MICROSOFT FÜR BESTIMMTE SCHÄDEN. 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 IN KEINEM FALL IST MICROSOFT HAFTBAR FÜR EINEN BETRAG, DER ZWEIHUNDERTFÜNFZIG US-DOLLAR (US-$ 250,00) ÜBERSTEIGT.</w:t>
      </w:r>
    </w:p>
    <w:p w14:paraId="133479B2" w14:textId="38E09022" w:rsidR="0039417B" w:rsidRPr="00583E0B" w:rsidRDefault="003E7E64" w:rsidP="009A7D95">
      <w:pPr>
        <w:spacing w:before="120" w:after="120"/>
      </w:pPr>
      <w:r>
        <w:rPr>
          <w:bCs/>
          <w:sz w:val="20"/>
          <w:szCs w:val="20"/>
        </w:rPr>
        <w:t xml:space="preserve">Microsoft und </w:t>
      </w:r>
      <w:r w:rsidR="00B66611">
        <w:rPr>
          <w:bCs/>
          <w:sz w:val="20"/>
          <w:szCs w:val="20"/>
        </w:rPr>
        <w:t>PowerPoint</w:t>
      </w:r>
      <w:r>
        <w:rPr>
          <w:bCs/>
          <w:sz w:val="20"/>
          <w:szCs w:val="20"/>
        </w:rPr>
        <w:t xml:space="preserve"> sind eingetragene Marken der Microsoft Corporation in den Vereinigten Staaten bzw. anderen Ländern.</w:t>
      </w:r>
    </w:p>
    <w:sectPr w:rsidR="0039417B" w:rsidRPr="00583E0B" w:rsidSect="00D93C4E">
      <w:footerReference w:type="default" r:id="rId16"/>
      <w:pgSz w:w="12240" w:h="15840"/>
      <w:pgMar w:top="1440" w:right="1440" w:bottom="1440" w:left="1440" w:header="720" w:footer="432"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53567E" w14:textId="77777777" w:rsidR="002C1B45" w:rsidRDefault="002C1B45" w:rsidP="00FD75BC">
      <w:r>
        <w:separator/>
      </w:r>
    </w:p>
  </w:endnote>
  <w:endnote w:type="continuationSeparator" w:id="0">
    <w:p w14:paraId="74C7B6D5" w14:textId="77777777" w:rsidR="002C1B45" w:rsidRDefault="002C1B45" w:rsidP="00FD75BC">
      <w:r>
        <w:continuationSeparator/>
      </w:r>
    </w:p>
  </w:endnote>
  <w:endnote w:type="continuationNotice" w:id="1">
    <w:p w14:paraId="100F9BA3" w14:textId="77777777" w:rsidR="002C1B45" w:rsidRDefault="002C1B4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5024"/>
      <w:gridCol w:w="4552"/>
    </w:tblGrid>
    <w:tr w:rsidR="00D93C4E" w:rsidRPr="001E6FD1" w14:paraId="13654D9F" w14:textId="77777777" w:rsidTr="00AC70F0">
      <w:tc>
        <w:tcPr>
          <w:tcW w:w="5328" w:type="dxa"/>
        </w:tcPr>
        <w:p w14:paraId="50CBBAC8" w14:textId="77777777" w:rsidR="00D93C4E" w:rsidRPr="001E6FD1" w:rsidRDefault="00D93C4E" w:rsidP="00D93C4E">
          <w:pPr>
            <w:tabs>
              <w:tab w:val="center" w:pos="4680"/>
              <w:tab w:val="right" w:pos="9360"/>
            </w:tabs>
            <w:rPr>
              <w:sz w:val="16"/>
              <w:szCs w:val="18"/>
            </w:rPr>
          </w:pPr>
          <w:r>
            <w:rPr>
              <w:sz w:val="16"/>
              <w:szCs w:val="18"/>
            </w:rPr>
            <w:t>ISV-Lizenzgebühr-Endnutzer-Lizenzvertrag</w:t>
          </w:r>
        </w:p>
        <w:p w14:paraId="32C97D26" w14:textId="795B9242" w:rsidR="00D93C4E" w:rsidRPr="001E6FD1" w:rsidRDefault="00B66611" w:rsidP="00D93C4E">
          <w:pPr>
            <w:tabs>
              <w:tab w:val="center" w:pos="4680"/>
              <w:tab w:val="right" w:pos="9360"/>
            </w:tabs>
            <w:rPr>
              <w:sz w:val="16"/>
              <w:szCs w:val="18"/>
            </w:rPr>
          </w:pPr>
          <w:r>
            <w:rPr>
              <w:sz w:val="16"/>
              <w:szCs w:val="18"/>
            </w:rPr>
            <w:t>PowerPoint</w:t>
          </w:r>
          <w:r w:rsidR="00100099">
            <w:rPr>
              <w:sz w:val="16"/>
              <w:szCs w:val="18"/>
            </w:rPr>
            <w:t xml:space="preserve"> (01. Oktober 2018)</w:t>
          </w:r>
        </w:p>
      </w:tc>
      <w:tc>
        <w:tcPr>
          <w:tcW w:w="5220" w:type="dxa"/>
        </w:tcPr>
        <w:p w14:paraId="76D2E342" w14:textId="77777777" w:rsidR="00D93C4E" w:rsidRPr="001E6FD1" w:rsidRDefault="00D93C4E" w:rsidP="00D93C4E">
          <w:pPr>
            <w:tabs>
              <w:tab w:val="center" w:pos="4680"/>
              <w:tab w:val="right" w:pos="9360"/>
            </w:tabs>
            <w:jc w:val="right"/>
            <w:rPr>
              <w:sz w:val="16"/>
              <w:szCs w:val="18"/>
            </w:rPr>
          </w:pPr>
          <w:r>
            <w:rPr>
              <w:sz w:val="16"/>
              <w:szCs w:val="18"/>
            </w:rPr>
            <w:t xml:space="preserve">Seite </w:t>
          </w:r>
          <w:r>
            <w:rPr>
              <w:sz w:val="16"/>
              <w:szCs w:val="18"/>
            </w:rPr>
            <w:fldChar w:fldCharType="begin"/>
          </w:r>
          <w:r w:rsidRPr="001E6FD1">
            <w:rPr>
              <w:sz w:val="16"/>
              <w:szCs w:val="18"/>
            </w:rPr>
            <w:instrText xml:space="preserve"> PAGE </w:instrText>
          </w:r>
          <w:r>
            <w:rPr>
              <w:sz w:val="16"/>
              <w:szCs w:val="18"/>
            </w:rPr>
            <w:fldChar w:fldCharType="separate"/>
          </w:r>
          <w:r w:rsidR="003D3BBA">
            <w:rPr>
              <w:noProof/>
              <w:sz w:val="16"/>
              <w:szCs w:val="18"/>
            </w:rPr>
            <w:t>1</w:t>
          </w:r>
          <w:r>
            <w:fldChar w:fldCharType="end"/>
          </w:r>
          <w:r>
            <w:rPr>
              <w:sz w:val="16"/>
              <w:szCs w:val="18"/>
            </w:rPr>
            <w:t xml:space="preserve"> von </w:t>
          </w:r>
          <w:r>
            <w:rPr>
              <w:sz w:val="16"/>
              <w:szCs w:val="18"/>
            </w:rPr>
            <w:fldChar w:fldCharType="begin"/>
          </w:r>
          <w:r w:rsidRPr="001E6FD1">
            <w:rPr>
              <w:sz w:val="16"/>
              <w:szCs w:val="18"/>
            </w:rPr>
            <w:instrText xml:space="preserve"> NUMPAGES </w:instrText>
          </w:r>
          <w:r>
            <w:rPr>
              <w:sz w:val="16"/>
              <w:szCs w:val="18"/>
            </w:rPr>
            <w:fldChar w:fldCharType="separate"/>
          </w:r>
          <w:r w:rsidR="003D3BBA">
            <w:rPr>
              <w:noProof/>
              <w:sz w:val="16"/>
              <w:szCs w:val="18"/>
            </w:rPr>
            <w:t>9</w:t>
          </w:r>
          <w:r>
            <w:fldChar w:fldCharType="end"/>
          </w:r>
        </w:p>
      </w:tc>
    </w:tr>
  </w:tbl>
  <w:p w14:paraId="305F7CF1" w14:textId="77777777" w:rsidR="00D93C4E" w:rsidRPr="001E6FD1" w:rsidRDefault="00D93C4E" w:rsidP="00D93C4E">
    <w:pPr>
      <w:pStyle w:val="Footer"/>
      <w:rPr>
        <w:sz w:val="16"/>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ADFA79" w14:textId="77777777" w:rsidR="002C1B45" w:rsidRDefault="002C1B45" w:rsidP="00FD75BC">
      <w:r>
        <w:separator/>
      </w:r>
    </w:p>
  </w:footnote>
  <w:footnote w:type="continuationSeparator" w:id="0">
    <w:p w14:paraId="27E55C44" w14:textId="77777777" w:rsidR="002C1B45" w:rsidRDefault="002C1B45" w:rsidP="00FD75BC">
      <w:r>
        <w:continuationSeparator/>
      </w:r>
    </w:p>
  </w:footnote>
  <w:footnote w:type="continuationNotice" w:id="1">
    <w:p w14:paraId="2773E166" w14:textId="77777777" w:rsidR="002C1B45" w:rsidRDefault="002C1B45"/>
  </w:footnote>
  <w:footnote w:id="2">
    <w:p w14:paraId="67D2425E" w14:textId="58D169CD" w:rsidR="002953C9" w:rsidRPr="001E6FD1" w:rsidRDefault="002953C9" w:rsidP="002953C9">
      <w:pPr>
        <w:pStyle w:val="Footnote"/>
        <w:spacing w:after="120"/>
        <w:rPr>
          <w:rFonts w:cs="Tahoma"/>
          <w:b/>
        </w:rPr>
      </w:pPr>
      <w:r w:rsidRPr="001E6FD1">
        <w:rPr>
          <w:rFonts w:cs="Tahoma"/>
          <w:b/>
          <w:vertAlign w:val="superscript"/>
        </w:rPr>
        <w:footnoteRef/>
      </w:r>
      <w:r w:rsidRPr="001E6FD1">
        <w:rPr>
          <w:rFonts w:cs="Tahoma"/>
          <w:b/>
        </w:rPr>
        <w:t xml:space="preserve"> </w:t>
      </w:r>
      <w:r w:rsidRPr="002953C9">
        <w:rPr>
          <w:rFonts w:cs="Tahoma"/>
          <w:b/>
        </w:rPr>
        <w:t>LIZENZGEBER: Geben Sie den entsprechenden Produktnamen an, d. h. entweder „Standard“ oder „Professionell“. Wenn die lizenzierte Software beispielsweise die Standardversion von Microsoft</w:t>
      </w:r>
      <w:r w:rsidRPr="00E4582E">
        <w:rPr>
          <w:rFonts w:cs="Tahoma"/>
          <w:b/>
          <w:vertAlign w:val="superscript"/>
        </w:rPr>
        <w:t>®</w:t>
      </w:r>
      <w:r w:rsidRPr="002953C9">
        <w:rPr>
          <w:rFonts w:cs="Tahoma"/>
          <w:b/>
        </w:rPr>
        <w:t xml:space="preserve"> Office</w:t>
      </w:r>
      <w:r w:rsidRPr="00E4582E">
        <w:rPr>
          <w:rFonts w:cs="Tahoma"/>
          <w:b/>
          <w:vertAlign w:val="superscript"/>
        </w:rPr>
        <w:t>®</w:t>
      </w:r>
      <w:r w:rsidRPr="002953C9">
        <w:rPr>
          <w:rFonts w:cs="Tahoma"/>
          <w:b/>
        </w:rPr>
        <w:t xml:space="preserve"> 2019 ist, lautet der Produktname: Microsoft</w:t>
      </w:r>
      <w:r w:rsidRPr="00A13BB1">
        <w:rPr>
          <w:rFonts w:cs="Tahoma"/>
          <w:b/>
          <w:vertAlign w:val="superscript"/>
        </w:rPr>
        <w:t>®</w:t>
      </w:r>
      <w:r w:rsidRPr="002953C9">
        <w:rPr>
          <w:rFonts w:cs="Tahoma"/>
          <w:b/>
        </w:rPr>
        <w:t xml:space="preserve"> Office</w:t>
      </w:r>
      <w:r w:rsidRPr="00A13BB1">
        <w:rPr>
          <w:rFonts w:cs="Tahoma"/>
          <w:b/>
          <w:vertAlign w:val="superscript"/>
        </w:rPr>
        <w:t>®</w:t>
      </w:r>
      <w:r w:rsidRPr="002953C9">
        <w:rPr>
          <w:rFonts w:cs="Tahoma"/>
          <w:b/>
        </w:rPr>
        <w:t xml:space="preserve"> Standard 2019.</w:t>
      </w:r>
    </w:p>
  </w:footnote>
  <w:footnote w:id="3">
    <w:p w14:paraId="034085FA" w14:textId="38EE6E97" w:rsidR="002953C9" w:rsidRPr="001E6FD1" w:rsidRDefault="002953C9" w:rsidP="002953C9">
      <w:pPr>
        <w:pStyle w:val="Footnote"/>
        <w:spacing w:after="120"/>
        <w:rPr>
          <w:rFonts w:cs="Tahoma"/>
          <w:b/>
        </w:rPr>
      </w:pPr>
      <w:r w:rsidRPr="001E6FD1">
        <w:rPr>
          <w:rFonts w:cs="Tahoma"/>
          <w:b/>
          <w:vertAlign w:val="superscript"/>
        </w:rPr>
        <w:footnoteRef/>
      </w:r>
      <w:r w:rsidRPr="001E6FD1">
        <w:rPr>
          <w:rFonts w:cs="Tahoma"/>
          <w:b/>
        </w:rPr>
        <w:t xml:space="preserve"> </w:t>
      </w:r>
      <w:r w:rsidRPr="002953C9">
        <w:rPr>
          <w:rFonts w:cs="Tahoma"/>
          <w:b/>
        </w:rPr>
        <w:t>LIZENZGEBER: Geben Sie für lizenzierte „Academic Edition“-Software bitte den Namen an, z. B.: Microsoft</w:t>
      </w:r>
      <w:r w:rsidRPr="00A13BB1">
        <w:rPr>
          <w:rFonts w:cs="Tahoma"/>
          <w:b/>
          <w:vertAlign w:val="superscript"/>
        </w:rPr>
        <w:t>®</w:t>
      </w:r>
      <w:r w:rsidRPr="002953C9">
        <w:rPr>
          <w:rFonts w:cs="Tahoma"/>
          <w:b/>
        </w:rPr>
        <w:t xml:space="preserve"> Office</w:t>
      </w:r>
      <w:r w:rsidRPr="00A13BB1">
        <w:rPr>
          <w:rFonts w:cs="Tahoma"/>
          <w:b/>
          <w:vertAlign w:val="superscript"/>
        </w:rPr>
        <w:t>®</w:t>
      </w:r>
      <w:r w:rsidRPr="002953C9">
        <w:rPr>
          <w:rFonts w:cs="Tahoma"/>
          <w:b/>
        </w:rPr>
        <w:t xml:space="preserve"> Standard 2019, Academic Edition.</w:t>
      </w:r>
    </w:p>
  </w:footnote>
  <w:footnote w:id="4">
    <w:p w14:paraId="732B51E8" w14:textId="5B549976" w:rsidR="002953C9" w:rsidRPr="001E6FD1" w:rsidRDefault="002953C9" w:rsidP="002953C9">
      <w:pPr>
        <w:pStyle w:val="Footnote"/>
        <w:spacing w:after="120"/>
        <w:rPr>
          <w:rFonts w:cs="Tahoma"/>
        </w:rPr>
      </w:pPr>
      <w:r w:rsidRPr="001E6FD1">
        <w:rPr>
          <w:rFonts w:cs="Tahoma"/>
          <w:b/>
          <w:vertAlign w:val="superscript"/>
        </w:rPr>
        <w:footnoteRef/>
      </w:r>
      <w:r w:rsidRPr="001E6FD1">
        <w:rPr>
          <w:rFonts w:cs="Tahoma"/>
          <w:b/>
        </w:rPr>
        <w:t xml:space="preserve"> </w:t>
      </w:r>
      <w:r w:rsidRPr="002953C9">
        <w:rPr>
          <w:rFonts w:cs="Tahoma"/>
          <w:b/>
        </w:rPr>
        <w:t>LIZENZGEBER: Geben Sie die Gesamtzahl der Kopien der Software an, für die der Endnutzer im Rahmen dieses Vertrags lizenziert ist.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030F079B"/>
    <w:multiLevelType w:val="hybridMultilevel"/>
    <w:tmpl w:val="F0B4DC38"/>
    <w:lvl w:ilvl="0" w:tplc="13C83F6C">
      <w:start w:val="1"/>
      <w:numFmt w:val="lowerLetter"/>
      <w:lvlText w:val="%1."/>
      <w:lvlJc w:val="left"/>
      <w:pPr>
        <w:ind w:left="2070" w:hanging="360"/>
      </w:pPr>
      <w:rPr>
        <w:rFonts w:hint="default"/>
        <w:b/>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2" w15:restartNumberingAfterBreak="0">
    <w:nsid w:val="1CE65A0F"/>
    <w:multiLevelType w:val="hybridMultilevel"/>
    <w:tmpl w:val="23721D40"/>
    <w:lvl w:ilvl="0" w:tplc="0409000F">
      <w:start w:val="1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C2657B"/>
    <w:multiLevelType w:val="hybridMultilevel"/>
    <w:tmpl w:val="8E0AB01A"/>
    <w:lvl w:ilvl="0" w:tplc="4E4E7F80">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4" w15:restartNumberingAfterBreak="0">
    <w:nsid w:val="2DA96321"/>
    <w:multiLevelType w:val="hybridMultilevel"/>
    <w:tmpl w:val="53A2FCF8"/>
    <w:lvl w:ilvl="0" w:tplc="0409000F">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9067B3"/>
    <w:multiLevelType w:val="hybridMultilevel"/>
    <w:tmpl w:val="EB2230FE"/>
    <w:lvl w:ilvl="0" w:tplc="DC4A801A">
      <w:start w:val="1"/>
      <w:numFmt w:val="decimal"/>
      <w:lvlText w:val="%1."/>
      <w:lvlJc w:val="left"/>
      <w:pPr>
        <w:ind w:left="720" w:hanging="360"/>
      </w:pPr>
      <w:rPr>
        <w:rFonts w:hint="default"/>
        <w:b/>
        <w:bCs w:val="0"/>
      </w:rPr>
    </w:lvl>
    <w:lvl w:ilvl="1" w:tplc="FFCCE114">
      <w:start w:val="1"/>
      <w:numFmt w:val="lowerLetter"/>
      <w:lvlText w:val="%2."/>
      <w:lvlJc w:val="left"/>
      <w:pPr>
        <w:ind w:left="1440" w:hanging="360"/>
      </w:pPr>
      <w:rPr>
        <w:rFonts w:hint="default"/>
        <w:b/>
      </w:rPr>
    </w:lvl>
    <w:lvl w:ilvl="2" w:tplc="1ECA7C3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9861799"/>
    <w:multiLevelType w:val="hybridMultilevel"/>
    <w:tmpl w:val="FFB683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CBC4A16"/>
    <w:multiLevelType w:val="hybridMultilevel"/>
    <w:tmpl w:val="099A9306"/>
    <w:lvl w:ilvl="0" w:tplc="4726EBAE">
      <w:start w:val="1"/>
      <w:numFmt w:val="lowerRoman"/>
      <w:lvlText w:val="(%1)"/>
      <w:lvlJc w:val="left"/>
      <w:pPr>
        <w:ind w:left="2070" w:hanging="360"/>
      </w:pPr>
      <w:rPr>
        <w:rFonts w:hint="default"/>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8" w15:restartNumberingAfterBreak="0">
    <w:nsid w:val="457016F6"/>
    <w:multiLevelType w:val="hybridMultilevel"/>
    <w:tmpl w:val="3E14F16C"/>
    <w:lvl w:ilvl="0" w:tplc="4E78B15A">
      <w:start w:val="12"/>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EB0AE3"/>
    <w:multiLevelType w:val="hybridMultilevel"/>
    <w:tmpl w:val="6AFA9686"/>
    <w:lvl w:ilvl="0" w:tplc="13C83F6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B8F39C1"/>
    <w:multiLevelType w:val="hybridMultilevel"/>
    <w:tmpl w:val="E5847680"/>
    <w:lvl w:ilvl="0" w:tplc="A78C3B12">
      <w:start w:val="1"/>
      <w:numFmt w:val="bullet"/>
      <w:lvlText w:val=""/>
      <w:lvlJc w:val="left"/>
      <w:pPr>
        <w:ind w:left="1080" w:hanging="360"/>
      </w:pPr>
      <w:rPr>
        <w:rFonts w:ascii="Symbol" w:hAnsi="Symbol" w:hint="default"/>
        <w:sz w:val="20"/>
        <w:szCs w:val="2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63D11DC1"/>
    <w:multiLevelType w:val="hybridMultilevel"/>
    <w:tmpl w:val="1B1E905E"/>
    <w:lvl w:ilvl="0" w:tplc="9AC065A8">
      <w:start w:val="1"/>
      <w:numFmt w:val="decimal"/>
      <w:lvlText w:val="%1."/>
      <w:lvlJc w:val="left"/>
      <w:pPr>
        <w:ind w:left="720" w:hanging="360"/>
      </w:pPr>
      <w:rPr>
        <w:rFonts w:hint="default"/>
        <w:b/>
        <w:sz w:val="20"/>
        <w:szCs w:val="20"/>
      </w:rPr>
    </w:lvl>
    <w:lvl w:ilvl="1" w:tplc="D34A53CE">
      <w:start w:val="1"/>
      <w:numFmt w:val="lowerLetter"/>
      <w:lvlText w:val="%2."/>
      <w:lvlJc w:val="left"/>
      <w:pPr>
        <w:ind w:left="1440" w:hanging="360"/>
      </w:pPr>
      <w:rPr>
        <w:rFonts w:hint="default"/>
        <w:b/>
        <w:sz w:val="20"/>
        <w:szCs w:val="20"/>
      </w:rPr>
    </w:lvl>
    <w:lvl w:ilvl="2" w:tplc="F23ED63A">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3"/>
  </w:num>
  <w:num w:numId="3">
    <w:abstractNumId w:val="0"/>
  </w:num>
  <w:num w:numId="4">
    <w:abstractNumId w:val="5"/>
  </w:num>
  <w:num w:numId="5">
    <w:abstractNumId w:val="2"/>
  </w:num>
  <w:num w:numId="6">
    <w:abstractNumId w:val="4"/>
  </w:num>
  <w:num w:numId="7">
    <w:abstractNumId w:val="7"/>
  </w:num>
  <w:num w:numId="8">
    <w:abstractNumId w:val="10"/>
  </w:num>
  <w:num w:numId="9">
    <w:abstractNumId w:val="8"/>
  </w:num>
  <w:num w:numId="10">
    <w:abstractNumId w:val="1"/>
  </w:num>
  <w:num w:numId="11">
    <w:abstractNumId w:val="6"/>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embedSystemFonts/>
  <w:bordersDoNotSurroundHeader/>
  <w:bordersDoNotSurroundFooter/>
  <w:documentProtection w:edit="forms" w:formatting="1" w:enforcement="1" w:cryptProviderType="rsaAES" w:cryptAlgorithmClass="hash" w:cryptAlgorithmType="typeAny" w:cryptAlgorithmSid="14" w:cryptSpinCount="100000" w:hash="WeIA6Ex6SHZEQX69uomSBV9dKX+XwXKjI5w3FbUB13ID4VtyccadmcYmtTGsq/zFMsxhW3WF5yHBTjaXa1BpPw==" w:salt="PStDmU4kG7LQhsV4olWeiQ=="/>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4097"/>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A3F54"/>
    <w:rsid w:val="0000160A"/>
    <w:rsid w:val="00002BDC"/>
    <w:rsid w:val="0000302E"/>
    <w:rsid w:val="00010094"/>
    <w:rsid w:val="0001161C"/>
    <w:rsid w:val="00017027"/>
    <w:rsid w:val="000174C7"/>
    <w:rsid w:val="00021D50"/>
    <w:rsid w:val="0002602D"/>
    <w:rsid w:val="000275BC"/>
    <w:rsid w:val="00033C6D"/>
    <w:rsid w:val="00036789"/>
    <w:rsid w:val="00041C62"/>
    <w:rsid w:val="00041DB3"/>
    <w:rsid w:val="00043264"/>
    <w:rsid w:val="00047D0B"/>
    <w:rsid w:val="00051382"/>
    <w:rsid w:val="00053DAA"/>
    <w:rsid w:val="00053E7C"/>
    <w:rsid w:val="000565B7"/>
    <w:rsid w:val="00061820"/>
    <w:rsid w:val="00067CA8"/>
    <w:rsid w:val="000752C4"/>
    <w:rsid w:val="000777EA"/>
    <w:rsid w:val="00077956"/>
    <w:rsid w:val="000806B0"/>
    <w:rsid w:val="00083D29"/>
    <w:rsid w:val="00083FD7"/>
    <w:rsid w:val="00084A9D"/>
    <w:rsid w:val="0008509C"/>
    <w:rsid w:val="000907D6"/>
    <w:rsid w:val="00091056"/>
    <w:rsid w:val="000936BD"/>
    <w:rsid w:val="00094221"/>
    <w:rsid w:val="00096AD1"/>
    <w:rsid w:val="000A0B85"/>
    <w:rsid w:val="000A3FEE"/>
    <w:rsid w:val="000A75A4"/>
    <w:rsid w:val="000B322E"/>
    <w:rsid w:val="000B3770"/>
    <w:rsid w:val="000B3A34"/>
    <w:rsid w:val="000B3BC1"/>
    <w:rsid w:val="000B4A39"/>
    <w:rsid w:val="000B729C"/>
    <w:rsid w:val="000B79C7"/>
    <w:rsid w:val="000C20C7"/>
    <w:rsid w:val="000C4248"/>
    <w:rsid w:val="000C5A88"/>
    <w:rsid w:val="000C7308"/>
    <w:rsid w:val="000D1A10"/>
    <w:rsid w:val="000D28C0"/>
    <w:rsid w:val="000D4A87"/>
    <w:rsid w:val="000D4C0D"/>
    <w:rsid w:val="000D6173"/>
    <w:rsid w:val="000E16D6"/>
    <w:rsid w:val="000E1704"/>
    <w:rsid w:val="000E349C"/>
    <w:rsid w:val="000E5120"/>
    <w:rsid w:val="000E6FA7"/>
    <w:rsid w:val="000F011D"/>
    <w:rsid w:val="000F0530"/>
    <w:rsid w:val="000F4073"/>
    <w:rsid w:val="000F4F4B"/>
    <w:rsid w:val="000F69E1"/>
    <w:rsid w:val="000F6B94"/>
    <w:rsid w:val="000F78B2"/>
    <w:rsid w:val="00100099"/>
    <w:rsid w:val="00103D3C"/>
    <w:rsid w:val="00106F4E"/>
    <w:rsid w:val="00113327"/>
    <w:rsid w:val="001146B5"/>
    <w:rsid w:val="00117129"/>
    <w:rsid w:val="0011713E"/>
    <w:rsid w:val="00117A66"/>
    <w:rsid w:val="001278F6"/>
    <w:rsid w:val="00130CFB"/>
    <w:rsid w:val="00133BBE"/>
    <w:rsid w:val="00135D48"/>
    <w:rsid w:val="00137458"/>
    <w:rsid w:val="00140D92"/>
    <w:rsid w:val="00141AE5"/>
    <w:rsid w:val="00144B94"/>
    <w:rsid w:val="00144BB6"/>
    <w:rsid w:val="00147222"/>
    <w:rsid w:val="00147AB0"/>
    <w:rsid w:val="001504DF"/>
    <w:rsid w:val="00152BB9"/>
    <w:rsid w:val="00155478"/>
    <w:rsid w:val="00155F8D"/>
    <w:rsid w:val="00162682"/>
    <w:rsid w:val="00170B32"/>
    <w:rsid w:val="00177698"/>
    <w:rsid w:val="001826FC"/>
    <w:rsid w:val="00182EA5"/>
    <w:rsid w:val="001869A1"/>
    <w:rsid w:val="001916EE"/>
    <w:rsid w:val="00191896"/>
    <w:rsid w:val="00191EFF"/>
    <w:rsid w:val="001945D7"/>
    <w:rsid w:val="00197F31"/>
    <w:rsid w:val="001A39E1"/>
    <w:rsid w:val="001A7435"/>
    <w:rsid w:val="001B147F"/>
    <w:rsid w:val="001B16C2"/>
    <w:rsid w:val="001B3852"/>
    <w:rsid w:val="001B679F"/>
    <w:rsid w:val="001B6FAE"/>
    <w:rsid w:val="001C03D6"/>
    <w:rsid w:val="001C451C"/>
    <w:rsid w:val="001C5A52"/>
    <w:rsid w:val="001C6592"/>
    <w:rsid w:val="001C7378"/>
    <w:rsid w:val="001D3560"/>
    <w:rsid w:val="001D4CD0"/>
    <w:rsid w:val="001D59D7"/>
    <w:rsid w:val="001E078E"/>
    <w:rsid w:val="001E28E9"/>
    <w:rsid w:val="001E3420"/>
    <w:rsid w:val="001E4187"/>
    <w:rsid w:val="001E4EEB"/>
    <w:rsid w:val="001E53D7"/>
    <w:rsid w:val="001E5C15"/>
    <w:rsid w:val="001E6CCA"/>
    <w:rsid w:val="001E6FD1"/>
    <w:rsid w:val="001F0F43"/>
    <w:rsid w:val="00201D8E"/>
    <w:rsid w:val="00203190"/>
    <w:rsid w:val="00204EF0"/>
    <w:rsid w:val="00210C91"/>
    <w:rsid w:val="002123B2"/>
    <w:rsid w:val="002139E4"/>
    <w:rsid w:val="00213BB0"/>
    <w:rsid w:val="00216CA6"/>
    <w:rsid w:val="00217E55"/>
    <w:rsid w:val="002227D9"/>
    <w:rsid w:val="00223BBB"/>
    <w:rsid w:val="002241B3"/>
    <w:rsid w:val="002247D2"/>
    <w:rsid w:val="00225D4D"/>
    <w:rsid w:val="00232CC2"/>
    <w:rsid w:val="00234210"/>
    <w:rsid w:val="0023579D"/>
    <w:rsid w:val="00243E0B"/>
    <w:rsid w:val="00250E21"/>
    <w:rsid w:val="002551F1"/>
    <w:rsid w:val="00256E94"/>
    <w:rsid w:val="00257A4A"/>
    <w:rsid w:val="0026232F"/>
    <w:rsid w:val="002625B3"/>
    <w:rsid w:val="00264890"/>
    <w:rsid w:val="00266CF7"/>
    <w:rsid w:val="00282186"/>
    <w:rsid w:val="0028453A"/>
    <w:rsid w:val="00286070"/>
    <w:rsid w:val="00291504"/>
    <w:rsid w:val="002916D5"/>
    <w:rsid w:val="0029284C"/>
    <w:rsid w:val="002942AE"/>
    <w:rsid w:val="002953C9"/>
    <w:rsid w:val="002954DD"/>
    <w:rsid w:val="002A36BC"/>
    <w:rsid w:val="002A40D1"/>
    <w:rsid w:val="002A5121"/>
    <w:rsid w:val="002B2D3F"/>
    <w:rsid w:val="002B33F9"/>
    <w:rsid w:val="002B504F"/>
    <w:rsid w:val="002B576D"/>
    <w:rsid w:val="002C0202"/>
    <w:rsid w:val="002C156C"/>
    <w:rsid w:val="002C1B45"/>
    <w:rsid w:val="002C2D6F"/>
    <w:rsid w:val="002C41E8"/>
    <w:rsid w:val="002C7D54"/>
    <w:rsid w:val="002D39F0"/>
    <w:rsid w:val="002D464C"/>
    <w:rsid w:val="002F1944"/>
    <w:rsid w:val="002F45C6"/>
    <w:rsid w:val="00300F14"/>
    <w:rsid w:val="00301870"/>
    <w:rsid w:val="00301FEB"/>
    <w:rsid w:val="00305B17"/>
    <w:rsid w:val="00307B55"/>
    <w:rsid w:val="003124ED"/>
    <w:rsid w:val="003129E4"/>
    <w:rsid w:val="003135B4"/>
    <w:rsid w:val="003171C2"/>
    <w:rsid w:val="00317513"/>
    <w:rsid w:val="00320AB0"/>
    <w:rsid w:val="0032368D"/>
    <w:rsid w:val="0032370C"/>
    <w:rsid w:val="00323C54"/>
    <w:rsid w:val="00327F3F"/>
    <w:rsid w:val="003326C9"/>
    <w:rsid w:val="00332DCF"/>
    <w:rsid w:val="00332F1A"/>
    <w:rsid w:val="0033730E"/>
    <w:rsid w:val="00343305"/>
    <w:rsid w:val="00343C2C"/>
    <w:rsid w:val="00343C86"/>
    <w:rsid w:val="003440B3"/>
    <w:rsid w:val="00345B31"/>
    <w:rsid w:val="00347565"/>
    <w:rsid w:val="0035119F"/>
    <w:rsid w:val="0035167D"/>
    <w:rsid w:val="003567F2"/>
    <w:rsid w:val="00360894"/>
    <w:rsid w:val="00362BA3"/>
    <w:rsid w:val="00363148"/>
    <w:rsid w:val="00363159"/>
    <w:rsid w:val="0036672A"/>
    <w:rsid w:val="00370A7D"/>
    <w:rsid w:val="00371BDE"/>
    <w:rsid w:val="00373113"/>
    <w:rsid w:val="003757B1"/>
    <w:rsid w:val="003823CC"/>
    <w:rsid w:val="003828F3"/>
    <w:rsid w:val="0038441B"/>
    <w:rsid w:val="0038466C"/>
    <w:rsid w:val="00384E58"/>
    <w:rsid w:val="00385180"/>
    <w:rsid w:val="00385980"/>
    <w:rsid w:val="00385B2C"/>
    <w:rsid w:val="00386A1A"/>
    <w:rsid w:val="00387DFA"/>
    <w:rsid w:val="003900C6"/>
    <w:rsid w:val="0039142A"/>
    <w:rsid w:val="0039417B"/>
    <w:rsid w:val="00396B05"/>
    <w:rsid w:val="0039709A"/>
    <w:rsid w:val="003A3F54"/>
    <w:rsid w:val="003A663C"/>
    <w:rsid w:val="003A6FC2"/>
    <w:rsid w:val="003B0E21"/>
    <w:rsid w:val="003B634E"/>
    <w:rsid w:val="003B7405"/>
    <w:rsid w:val="003C1B7E"/>
    <w:rsid w:val="003C68F7"/>
    <w:rsid w:val="003D08FE"/>
    <w:rsid w:val="003D0DEC"/>
    <w:rsid w:val="003D2BC5"/>
    <w:rsid w:val="003D3BBA"/>
    <w:rsid w:val="003D5579"/>
    <w:rsid w:val="003D79C1"/>
    <w:rsid w:val="003E1104"/>
    <w:rsid w:val="003E3630"/>
    <w:rsid w:val="003E6283"/>
    <w:rsid w:val="003E7E64"/>
    <w:rsid w:val="003F08A5"/>
    <w:rsid w:val="003F12D4"/>
    <w:rsid w:val="0040224B"/>
    <w:rsid w:val="00407729"/>
    <w:rsid w:val="004131EE"/>
    <w:rsid w:val="00415ED4"/>
    <w:rsid w:val="004267DA"/>
    <w:rsid w:val="00430A4F"/>
    <w:rsid w:val="00432040"/>
    <w:rsid w:val="004343A0"/>
    <w:rsid w:val="004350FC"/>
    <w:rsid w:val="004446D7"/>
    <w:rsid w:val="004510AC"/>
    <w:rsid w:val="00455D9D"/>
    <w:rsid w:val="004563EC"/>
    <w:rsid w:val="00456CFD"/>
    <w:rsid w:val="00461D7F"/>
    <w:rsid w:val="004649E6"/>
    <w:rsid w:val="00472975"/>
    <w:rsid w:val="00475964"/>
    <w:rsid w:val="00482195"/>
    <w:rsid w:val="00482AB8"/>
    <w:rsid w:val="0048410F"/>
    <w:rsid w:val="00485A48"/>
    <w:rsid w:val="004868FF"/>
    <w:rsid w:val="004915CD"/>
    <w:rsid w:val="004925C8"/>
    <w:rsid w:val="004925E7"/>
    <w:rsid w:val="00492FA8"/>
    <w:rsid w:val="00493264"/>
    <w:rsid w:val="0049380F"/>
    <w:rsid w:val="00494957"/>
    <w:rsid w:val="004A689D"/>
    <w:rsid w:val="004A6B17"/>
    <w:rsid w:val="004B0B11"/>
    <w:rsid w:val="004B55C2"/>
    <w:rsid w:val="004B7687"/>
    <w:rsid w:val="004C328A"/>
    <w:rsid w:val="004D1AFF"/>
    <w:rsid w:val="004D1FFE"/>
    <w:rsid w:val="004D36BC"/>
    <w:rsid w:val="004E02D8"/>
    <w:rsid w:val="004E250A"/>
    <w:rsid w:val="004E25BC"/>
    <w:rsid w:val="004E361B"/>
    <w:rsid w:val="004E3C66"/>
    <w:rsid w:val="004E3FE6"/>
    <w:rsid w:val="004E6B72"/>
    <w:rsid w:val="004F2EB4"/>
    <w:rsid w:val="004F4CB4"/>
    <w:rsid w:val="004F6991"/>
    <w:rsid w:val="004F6A1F"/>
    <w:rsid w:val="005005E1"/>
    <w:rsid w:val="0050397E"/>
    <w:rsid w:val="005055D5"/>
    <w:rsid w:val="0051308B"/>
    <w:rsid w:val="0051539A"/>
    <w:rsid w:val="0052490B"/>
    <w:rsid w:val="005260F1"/>
    <w:rsid w:val="00526E5C"/>
    <w:rsid w:val="0052748E"/>
    <w:rsid w:val="005312A0"/>
    <w:rsid w:val="00532170"/>
    <w:rsid w:val="005346F5"/>
    <w:rsid w:val="00535A1E"/>
    <w:rsid w:val="00536528"/>
    <w:rsid w:val="00536B7C"/>
    <w:rsid w:val="00540893"/>
    <w:rsid w:val="0054334C"/>
    <w:rsid w:val="0054592E"/>
    <w:rsid w:val="00547B68"/>
    <w:rsid w:val="00554F1F"/>
    <w:rsid w:val="00555159"/>
    <w:rsid w:val="005553D0"/>
    <w:rsid w:val="005602EE"/>
    <w:rsid w:val="00560D11"/>
    <w:rsid w:val="00564CC7"/>
    <w:rsid w:val="00564F56"/>
    <w:rsid w:val="00570096"/>
    <w:rsid w:val="005704CC"/>
    <w:rsid w:val="005705A0"/>
    <w:rsid w:val="00572902"/>
    <w:rsid w:val="00573956"/>
    <w:rsid w:val="0057662E"/>
    <w:rsid w:val="005805F3"/>
    <w:rsid w:val="0058135F"/>
    <w:rsid w:val="00583E0B"/>
    <w:rsid w:val="00591205"/>
    <w:rsid w:val="0059181C"/>
    <w:rsid w:val="005970B6"/>
    <w:rsid w:val="005A0492"/>
    <w:rsid w:val="005A2C76"/>
    <w:rsid w:val="005A41C9"/>
    <w:rsid w:val="005A5979"/>
    <w:rsid w:val="005A7A05"/>
    <w:rsid w:val="005B0898"/>
    <w:rsid w:val="005B5C6A"/>
    <w:rsid w:val="005B5E53"/>
    <w:rsid w:val="005C052D"/>
    <w:rsid w:val="005C2E83"/>
    <w:rsid w:val="005D589D"/>
    <w:rsid w:val="005D78EC"/>
    <w:rsid w:val="005E15F8"/>
    <w:rsid w:val="005E40E5"/>
    <w:rsid w:val="005E49BE"/>
    <w:rsid w:val="005E4C6D"/>
    <w:rsid w:val="005F036A"/>
    <w:rsid w:val="005F2037"/>
    <w:rsid w:val="005F472E"/>
    <w:rsid w:val="005F4C80"/>
    <w:rsid w:val="005F7F50"/>
    <w:rsid w:val="00600ECD"/>
    <w:rsid w:val="0060221A"/>
    <w:rsid w:val="00602E38"/>
    <w:rsid w:val="00603454"/>
    <w:rsid w:val="006062A6"/>
    <w:rsid w:val="006100FB"/>
    <w:rsid w:val="006134E8"/>
    <w:rsid w:val="006148F3"/>
    <w:rsid w:val="00620F99"/>
    <w:rsid w:val="00621655"/>
    <w:rsid w:val="006229FB"/>
    <w:rsid w:val="00623937"/>
    <w:rsid w:val="006347D8"/>
    <w:rsid w:val="0063549B"/>
    <w:rsid w:val="00635555"/>
    <w:rsid w:val="00635DF9"/>
    <w:rsid w:val="00642FFE"/>
    <w:rsid w:val="006439B6"/>
    <w:rsid w:val="00643FD9"/>
    <w:rsid w:val="0064620D"/>
    <w:rsid w:val="00647B95"/>
    <w:rsid w:val="0065208E"/>
    <w:rsid w:val="00652A57"/>
    <w:rsid w:val="00653F66"/>
    <w:rsid w:val="006579ED"/>
    <w:rsid w:val="00662265"/>
    <w:rsid w:val="0066297D"/>
    <w:rsid w:val="00663109"/>
    <w:rsid w:val="00663B9D"/>
    <w:rsid w:val="00664658"/>
    <w:rsid w:val="006656FA"/>
    <w:rsid w:val="00674944"/>
    <w:rsid w:val="00674DF4"/>
    <w:rsid w:val="00677908"/>
    <w:rsid w:val="006872C3"/>
    <w:rsid w:val="00687550"/>
    <w:rsid w:val="00690F5B"/>
    <w:rsid w:val="00693473"/>
    <w:rsid w:val="00693D26"/>
    <w:rsid w:val="0069562B"/>
    <w:rsid w:val="006968CE"/>
    <w:rsid w:val="006A0615"/>
    <w:rsid w:val="006A0BA7"/>
    <w:rsid w:val="006A348F"/>
    <w:rsid w:val="006A491F"/>
    <w:rsid w:val="006A79C1"/>
    <w:rsid w:val="006B1508"/>
    <w:rsid w:val="006B23FC"/>
    <w:rsid w:val="006B2E2C"/>
    <w:rsid w:val="006B3FD7"/>
    <w:rsid w:val="006C10CE"/>
    <w:rsid w:val="006C33F3"/>
    <w:rsid w:val="006C49E5"/>
    <w:rsid w:val="006D0C29"/>
    <w:rsid w:val="006D301C"/>
    <w:rsid w:val="006D7EA6"/>
    <w:rsid w:val="006E16C5"/>
    <w:rsid w:val="006E1A06"/>
    <w:rsid w:val="006F05A7"/>
    <w:rsid w:val="006F16E3"/>
    <w:rsid w:val="006F308F"/>
    <w:rsid w:val="006F56DE"/>
    <w:rsid w:val="00701A21"/>
    <w:rsid w:val="00705F62"/>
    <w:rsid w:val="00710210"/>
    <w:rsid w:val="007105C8"/>
    <w:rsid w:val="00711FE6"/>
    <w:rsid w:val="00714241"/>
    <w:rsid w:val="007157E5"/>
    <w:rsid w:val="00715FFA"/>
    <w:rsid w:val="00716691"/>
    <w:rsid w:val="00716797"/>
    <w:rsid w:val="0072050B"/>
    <w:rsid w:val="00720C11"/>
    <w:rsid w:val="007243A2"/>
    <w:rsid w:val="007263FD"/>
    <w:rsid w:val="00727E68"/>
    <w:rsid w:val="00730C61"/>
    <w:rsid w:val="007345BD"/>
    <w:rsid w:val="00735297"/>
    <w:rsid w:val="00736289"/>
    <w:rsid w:val="00736BF0"/>
    <w:rsid w:val="0073703A"/>
    <w:rsid w:val="0074044E"/>
    <w:rsid w:val="0074084D"/>
    <w:rsid w:val="00741ECF"/>
    <w:rsid w:val="007436A4"/>
    <w:rsid w:val="00746776"/>
    <w:rsid w:val="007532D6"/>
    <w:rsid w:val="00755274"/>
    <w:rsid w:val="00760232"/>
    <w:rsid w:val="00760F7E"/>
    <w:rsid w:val="00761462"/>
    <w:rsid w:val="00762BCF"/>
    <w:rsid w:val="007656AC"/>
    <w:rsid w:val="007660F6"/>
    <w:rsid w:val="007665F7"/>
    <w:rsid w:val="007675FD"/>
    <w:rsid w:val="00780347"/>
    <w:rsid w:val="00782ACF"/>
    <w:rsid w:val="00783C2D"/>
    <w:rsid w:val="00787540"/>
    <w:rsid w:val="00792FC1"/>
    <w:rsid w:val="0079421D"/>
    <w:rsid w:val="007A0ABD"/>
    <w:rsid w:val="007A43E7"/>
    <w:rsid w:val="007A6810"/>
    <w:rsid w:val="007A7A32"/>
    <w:rsid w:val="007B07B3"/>
    <w:rsid w:val="007B08B1"/>
    <w:rsid w:val="007B5876"/>
    <w:rsid w:val="007B6D09"/>
    <w:rsid w:val="007B7D4B"/>
    <w:rsid w:val="007C182A"/>
    <w:rsid w:val="007C30E5"/>
    <w:rsid w:val="007C41DA"/>
    <w:rsid w:val="007D26A1"/>
    <w:rsid w:val="007D3EB2"/>
    <w:rsid w:val="007D406A"/>
    <w:rsid w:val="007D4890"/>
    <w:rsid w:val="007D4FFF"/>
    <w:rsid w:val="007D56B6"/>
    <w:rsid w:val="007D5C92"/>
    <w:rsid w:val="007D7204"/>
    <w:rsid w:val="007E2844"/>
    <w:rsid w:val="007E5746"/>
    <w:rsid w:val="007E6380"/>
    <w:rsid w:val="007E7A72"/>
    <w:rsid w:val="007F4210"/>
    <w:rsid w:val="007F7D2B"/>
    <w:rsid w:val="0080331E"/>
    <w:rsid w:val="0080786D"/>
    <w:rsid w:val="00811468"/>
    <w:rsid w:val="00813B2A"/>
    <w:rsid w:val="0081608E"/>
    <w:rsid w:val="0082468E"/>
    <w:rsid w:val="008250D1"/>
    <w:rsid w:val="00826756"/>
    <w:rsid w:val="00826B1F"/>
    <w:rsid w:val="008270EF"/>
    <w:rsid w:val="008414FD"/>
    <w:rsid w:val="00842BB2"/>
    <w:rsid w:val="00845051"/>
    <w:rsid w:val="00845667"/>
    <w:rsid w:val="00852492"/>
    <w:rsid w:val="00861694"/>
    <w:rsid w:val="0086413A"/>
    <w:rsid w:val="00870F2C"/>
    <w:rsid w:val="00871C2D"/>
    <w:rsid w:val="00871D65"/>
    <w:rsid w:val="00872FAC"/>
    <w:rsid w:val="00876064"/>
    <w:rsid w:val="00884B1D"/>
    <w:rsid w:val="00885545"/>
    <w:rsid w:val="008855FB"/>
    <w:rsid w:val="0089137A"/>
    <w:rsid w:val="008917EE"/>
    <w:rsid w:val="00893E0A"/>
    <w:rsid w:val="00895901"/>
    <w:rsid w:val="00895BA3"/>
    <w:rsid w:val="008A07AA"/>
    <w:rsid w:val="008A1732"/>
    <w:rsid w:val="008A2A17"/>
    <w:rsid w:val="008A2F63"/>
    <w:rsid w:val="008A53E8"/>
    <w:rsid w:val="008B0FF3"/>
    <w:rsid w:val="008B24F8"/>
    <w:rsid w:val="008B3B2F"/>
    <w:rsid w:val="008B42BE"/>
    <w:rsid w:val="008B5DBD"/>
    <w:rsid w:val="008B7271"/>
    <w:rsid w:val="008B7EC8"/>
    <w:rsid w:val="008C449A"/>
    <w:rsid w:val="008C50DC"/>
    <w:rsid w:val="008C6236"/>
    <w:rsid w:val="008D23A7"/>
    <w:rsid w:val="008D5E07"/>
    <w:rsid w:val="008E0D4D"/>
    <w:rsid w:val="008E2464"/>
    <w:rsid w:val="008E4178"/>
    <w:rsid w:val="008E5B2F"/>
    <w:rsid w:val="008E5C5A"/>
    <w:rsid w:val="008E628D"/>
    <w:rsid w:val="008E7BBF"/>
    <w:rsid w:val="008E7D44"/>
    <w:rsid w:val="008F1A81"/>
    <w:rsid w:val="008F1D19"/>
    <w:rsid w:val="008F1EFD"/>
    <w:rsid w:val="008F2384"/>
    <w:rsid w:val="009005E7"/>
    <w:rsid w:val="00901E8D"/>
    <w:rsid w:val="00902ABA"/>
    <w:rsid w:val="00904404"/>
    <w:rsid w:val="009134D1"/>
    <w:rsid w:val="00915207"/>
    <w:rsid w:val="009223E6"/>
    <w:rsid w:val="009227FC"/>
    <w:rsid w:val="00926DCB"/>
    <w:rsid w:val="0093375D"/>
    <w:rsid w:val="009407DF"/>
    <w:rsid w:val="009409CB"/>
    <w:rsid w:val="00941B94"/>
    <w:rsid w:val="009428D4"/>
    <w:rsid w:val="00942AE7"/>
    <w:rsid w:val="00945DE7"/>
    <w:rsid w:val="0095257F"/>
    <w:rsid w:val="009542CE"/>
    <w:rsid w:val="00955E95"/>
    <w:rsid w:val="00963FF2"/>
    <w:rsid w:val="009662CD"/>
    <w:rsid w:val="009662F6"/>
    <w:rsid w:val="009729BB"/>
    <w:rsid w:val="009802A3"/>
    <w:rsid w:val="0098073A"/>
    <w:rsid w:val="00980D3F"/>
    <w:rsid w:val="009835FA"/>
    <w:rsid w:val="00985B61"/>
    <w:rsid w:val="00985CC6"/>
    <w:rsid w:val="00987F9B"/>
    <w:rsid w:val="00991ACA"/>
    <w:rsid w:val="00991CFA"/>
    <w:rsid w:val="00993A79"/>
    <w:rsid w:val="009A19E8"/>
    <w:rsid w:val="009A2D13"/>
    <w:rsid w:val="009A7B70"/>
    <w:rsid w:val="009A7D95"/>
    <w:rsid w:val="009B418B"/>
    <w:rsid w:val="009C5172"/>
    <w:rsid w:val="009C672B"/>
    <w:rsid w:val="009C69D5"/>
    <w:rsid w:val="009C7D6D"/>
    <w:rsid w:val="009D2B0C"/>
    <w:rsid w:val="009D55A1"/>
    <w:rsid w:val="009D6853"/>
    <w:rsid w:val="009D7241"/>
    <w:rsid w:val="009E389F"/>
    <w:rsid w:val="009E41B9"/>
    <w:rsid w:val="009E46D5"/>
    <w:rsid w:val="009E7BD1"/>
    <w:rsid w:val="009F7604"/>
    <w:rsid w:val="00A026E7"/>
    <w:rsid w:val="00A0394E"/>
    <w:rsid w:val="00A13BB1"/>
    <w:rsid w:val="00A14552"/>
    <w:rsid w:val="00A1546E"/>
    <w:rsid w:val="00A15FDB"/>
    <w:rsid w:val="00A160A1"/>
    <w:rsid w:val="00A16208"/>
    <w:rsid w:val="00A17C9F"/>
    <w:rsid w:val="00A20617"/>
    <w:rsid w:val="00A239A3"/>
    <w:rsid w:val="00A30880"/>
    <w:rsid w:val="00A31847"/>
    <w:rsid w:val="00A31AF9"/>
    <w:rsid w:val="00A31C1F"/>
    <w:rsid w:val="00A34211"/>
    <w:rsid w:val="00A35E83"/>
    <w:rsid w:val="00A446B2"/>
    <w:rsid w:val="00A47872"/>
    <w:rsid w:val="00A534B5"/>
    <w:rsid w:val="00A546E6"/>
    <w:rsid w:val="00A57127"/>
    <w:rsid w:val="00A612C4"/>
    <w:rsid w:val="00A61A6C"/>
    <w:rsid w:val="00A62375"/>
    <w:rsid w:val="00A654BA"/>
    <w:rsid w:val="00A678A0"/>
    <w:rsid w:val="00A7000F"/>
    <w:rsid w:val="00A7119A"/>
    <w:rsid w:val="00A7430A"/>
    <w:rsid w:val="00A75C62"/>
    <w:rsid w:val="00A7712C"/>
    <w:rsid w:val="00A771D0"/>
    <w:rsid w:val="00A823C6"/>
    <w:rsid w:val="00A8511C"/>
    <w:rsid w:val="00A8686C"/>
    <w:rsid w:val="00A870E4"/>
    <w:rsid w:val="00A94157"/>
    <w:rsid w:val="00A968E8"/>
    <w:rsid w:val="00AA04AF"/>
    <w:rsid w:val="00AA357B"/>
    <w:rsid w:val="00AA4564"/>
    <w:rsid w:val="00AA6007"/>
    <w:rsid w:val="00AA7253"/>
    <w:rsid w:val="00AA7E07"/>
    <w:rsid w:val="00AB0F5B"/>
    <w:rsid w:val="00AB5811"/>
    <w:rsid w:val="00AB7136"/>
    <w:rsid w:val="00AC02E5"/>
    <w:rsid w:val="00AC2399"/>
    <w:rsid w:val="00AC2E77"/>
    <w:rsid w:val="00AC3850"/>
    <w:rsid w:val="00AC5420"/>
    <w:rsid w:val="00AD0216"/>
    <w:rsid w:val="00AD25EE"/>
    <w:rsid w:val="00AE2B07"/>
    <w:rsid w:val="00AE2FB5"/>
    <w:rsid w:val="00AE3DD3"/>
    <w:rsid w:val="00AE7D95"/>
    <w:rsid w:val="00AF0E8E"/>
    <w:rsid w:val="00AF6B2B"/>
    <w:rsid w:val="00B04650"/>
    <w:rsid w:val="00B04D46"/>
    <w:rsid w:val="00B25916"/>
    <w:rsid w:val="00B300AF"/>
    <w:rsid w:val="00B363D0"/>
    <w:rsid w:val="00B370DA"/>
    <w:rsid w:val="00B379CE"/>
    <w:rsid w:val="00B40D76"/>
    <w:rsid w:val="00B4186D"/>
    <w:rsid w:val="00B5665D"/>
    <w:rsid w:val="00B603C3"/>
    <w:rsid w:val="00B6053F"/>
    <w:rsid w:val="00B637A5"/>
    <w:rsid w:val="00B66611"/>
    <w:rsid w:val="00B669DF"/>
    <w:rsid w:val="00B67CCA"/>
    <w:rsid w:val="00B70BF5"/>
    <w:rsid w:val="00B71869"/>
    <w:rsid w:val="00B73A48"/>
    <w:rsid w:val="00B8321E"/>
    <w:rsid w:val="00B85431"/>
    <w:rsid w:val="00B9128C"/>
    <w:rsid w:val="00B93455"/>
    <w:rsid w:val="00BA10F9"/>
    <w:rsid w:val="00BA3452"/>
    <w:rsid w:val="00BA3851"/>
    <w:rsid w:val="00BB4792"/>
    <w:rsid w:val="00BB5A7D"/>
    <w:rsid w:val="00BB7F6A"/>
    <w:rsid w:val="00BC0CE2"/>
    <w:rsid w:val="00BC0E9A"/>
    <w:rsid w:val="00BC2699"/>
    <w:rsid w:val="00BC519F"/>
    <w:rsid w:val="00BC7ACA"/>
    <w:rsid w:val="00BD2D00"/>
    <w:rsid w:val="00BD5CC3"/>
    <w:rsid w:val="00BE2456"/>
    <w:rsid w:val="00BE5B54"/>
    <w:rsid w:val="00BF08E9"/>
    <w:rsid w:val="00BF11ED"/>
    <w:rsid w:val="00BF1371"/>
    <w:rsid w:val="00BF30EC"/>
    <w:rsid w:val="00BF56D2"/>
    <w:rsid w:val="00BF5A00"/>
    <w:rsid w:val="00BF6E99"/>
    <w:rsid w:val="00C018AF"/>
    <w:rsid w:val="00C028B6"/>
    <w:rsid w:val="00C038D8"/>
    <w:rsid w:val="00C0499D"/>
    <w:rsid w:val="00C04B4D"/>
    <w:rsid w:val="00C05200"/>
    <w:rsid w:val="00C06795"/>
    <w:rsid w:val="00C13586"/>
    <w:rsid w:val="00C1369D"/>
    <w:rsid w:val="00C14D17"/>
    <w:rsid w:val="00C15DAA"/>
    <w:rsid w:val="00C245C1"/>
    <w:rsid w:val="00C2523A"/>
    <w:rsid w:val="00C272E9"/>
    <w:rsid w:val="00C27D84"/>
    <w:rsid w:val="00C3075E"/>
    <w:rsid w:val="00C34C96"/>
    <w:rsid w:val="00C42BAD"/>
    <w:rsid w:val="00C436D2"/>
    <w:rsid w:val="00C44FFC"/>
    <w:rsid w:val="00C528DA"/>
    <w:rsid w:val="00C52F04"/>
    <w:rsid w:val="00C5586D"/>
    <w:rsid w:val="00C56BA2"/>
    <w:rsid w:val="00C57B8D"/>
    <w:rsid w:val="00C63CB5"/>
    <w:rsid w:val="00C67AFC"/>
    <w:rsid w:val="00C7041C"/>
    <w:rsid w:val="00C7122A"/>
    <w:rsid w:val="00C73178"/>
    <w:rsid w:val="00C76915"/>
    <w:rsid w:val="00C77C13"/>
    <w:rsid w:val="00C82F34"/>
    <w:rsid w:val="00C832D7"/>
    <w:rsid w:val="00C92A5D"/>
    <w:rsid w:val="00C92B68"/>
    <w:rsid w:val="00C96146"/>
    <w:rsid w:val="00C96605"/>
    <w:rsid w:val="00C968EF"/>
    <w:rsid w:val="00C976D8"/>
    <w:rsid w:val="00C97F83"/>
    <w:rsid w:val="00CA4D63"/>
    <w:rsid w:val="00CA7B7F"/>
    <w:rsid w:val="00CB16E6"/>
    <w:rsid w:val="00CB2318"/>
    <w:rsid w:val="00CB3914"/>
    <w:rsid w:val="00CB43A9"/>
    <w:rsid w:val="00CB7771"/>
    <w:rsid w:val="00CC049E"/>
    <w:rsid w:val="00CC3921"/>
    <w:rsid w:val="00CC4A2F"/>
    <w:rsid w:val="00CD095F"/>
    <w:rsid w:val="00CD15A7"/>
    <w:rsid w:val="00CD2495"/>
    <w:rsid w:val="00CD4FD6"/>
    <w:rsid w:val="00CD7843"/>
    <w:rsid w:val="00CD78D5"/>
    <w:rsid w:val="00CE4DE1"/>
    <w:rsid w:val="00CE5305"/>
    <w:rsid w:val="00CE548E"/>
    <w:rsid w:val="00CF0C31"/>
    <w:rsid w:val="00CF0DCD"/>
    <w:rsid w:val="00CF2FF4"/>
    <w:rsid w:val="00CF5414"/>
    <w:rsid w:val="00D02BB0"/>
    <w:rsid w:val="00D06B28"/>
    <w:rsid w:val="00D14233"/>
    <w:rsid w:val="00D14F25"/>
    <w:rsid w:val="00D155E3"/>
    <w:rsid w:val="00D178C2"/>
    <w:rsid w:val="00D2109C"/>
    <w:rsid w:val="00D23716"/>
    <w:rsid w:val="00D23DF8"/>
    <w:rsid w:val="00D23DFB"/>
    <w:rsid w:val="00D30D32"/>
    <w:rsid w:val="00D31156"/>
    <w:rsid w:val="00D32AED"/>
    <w:rsid w:val="00D42656"/>
    <w:rsid w:val="00D4300B"/>
    <w:rsid w:val="00D436C1"/>
    <w:rsid w:val="00D43C85"/>
    <w:rsid w:val="00D51A29"/>
    <w:rsid w:val="00D60F40"/>
    <w:rsid w:val="00D61553"/>
    <w:rsid w:val="00D61725"/>
    <w:rsid w:val="00D61886"/>
    <w:rsid w:val="00D62EF0"/>
    <w:rsid w:val="00D63282"/>
    <w:rsid w:val="00D70064"/>
    <w:rsid w:val="00D726D3"/>
    <w:rsid w:val="00D75138"/>
    <w:rsid w:val="00D7578B"/>
    <w:rsid w:val="00D7672C"/>
    <w:rsid w:val="00D8096E"/>
    <w:rsid w:val="00D83586"/>
    <w:rsid w:val="00D90796"/>
    <w:rsid w:val="00D92549"/>
    <w:rsid w:val="00D93C4E"/>
    <w:rsid w:val="00D95244"/>
    <w:rsid w:val="00D9679F"/>
    <w:rsid w:val="00D96B67"/>
    <w:rsid w:val="00D970D5"/>
    <w:rsid w:val="00D974F1"/>
    <w:rsid w:val="00DA1465"/>
    <w:rsid w:val="00DA577B"/>
    <w:rsid w:val="00DA6C7F"/>
    <w:rsid w:val="00DA73DE"/>
    <w:rsid w:val="00DA7D7C"/>
    <w:rsid w:val="00DB3A7C"/>
    <w:rsid w:val="00DB713A"/>
    <w:rsid w:val="00DC270C"/>
    <w:rsid w:val="00DC2F70"/>
    <w:rsid w:val="00DC6B04"/>
    <w:rsid w:val="00DC7115"/>
    <w:rsid w:val="00DC79EB"/>
    <w:rsid w:val="00DD0CEB"/>
    <w:rsid w:val="00DD585B"/>
    <w:rsid w:val="00DD63A5"/>
    <w:rsid w:val="00DE0BED"/>
    <w:rsid w:val="00DE56ED"/>
    <w:rsid w:val="00DE6818"/>
    <w:rsid w:val="00DE7A3D"/>
    <w:rsid w:val="00DF3BFA"/>
    <w:rsid w:val="00DF3E76"/>
    <w:rsid w:val="00DF7338"/>
    <w:rsid w:val="00DF7F2A"/>
    <w:rsid w:val="00E031F8"/>
    <w:rsid w:val="00E04CEF"/>
    <w:rsid w:val="00E05EFF"/>
    <w:rsid w:val="00E07864"/>
    <w:rsid w:val="00E100D6"/>
    <w:rsid w:val="00E1087A"/>
    <w:rsid w:val="00E14A35"/>
    <w:rsid w:val="00E21B4B"/>
    <w:rsid w:val="00E238AF"/>
    <w:rsid w:val="00E27D22"/>
    <w:rsid w:val="00E323D5"/>
    <w:rsid w:val="00E3331E"/>
    <w:rsid w:val="00E347AD"/>
    <w:rsid w:val="00E37A5B"/>
    <w:rsid w:val="00E45184"/>
    <w:rsid w:val="00E4582E"/>
    <w:rsid w:val="00E50016"/>
    <w:rsid w:val="00E5209C"/>
    <w:rsid w:val="00E5371B"/>
    <w:rsid w:val="00E54368"/>
    <w:rsid w:val="00E5573E"/>
    <w:rsid w:val="00E5662D"/>
    <w:rsid w:val="00E56FBB"/>
    <w:rsid w:val="00E5726A"/>
    <w:rsid w:val="00E60D76"/>
    <w:rsid w:val="00E63FB3"/>
    <w:rsid w:val="00E738BC"/>
    <w:rsid w:val="00E7654D"/>
    <w:rsid w:val="00E76D70"/>
    <w:rsid w:val="00E835C3"/>
    <w:rsid w:val="00E860BD"/>
    <w:rsid w:val="00E8733C"/>
    <w:rsid w:val="00E874B6"/>
    <w:rsid w:val="00E9033B"/>
    <w:rsid w:val="00E92973"/>
    <w:rsid w:val="00E95DB1"/>
    <w:rsid w:val="00E97F89"/>
    <w:rsid w:val="00EA08DC"/>
    <w:rsid w:val="00EA6A96"/>
    <w:rsid w:val="00EB18C8"/>
    <w:rsid w:val="00EB20E0"/>
    <w:rsid w:val="00EB2447"/>
    <w:rsid w:val="00EB274F"/>
    <w:rsid w:val="00EB4DAF"/>
    <w:rsid w:val="00EB5B49"/>
    <w:rsid w:val="00EC114A"/>
    <w:rsid w:val="00EC3666"/>
    <w:rsid w:val="00EC3B4C"/>
    <w:rsid w:val="00EC3E09"/>
    <w:rsid w:val="00EC72D7"/>
    <w:rsid w:val="00ED0B7D"/>
    <w:rsid w:val="00EE01D4"/>
    <w:rsid w:val="00EE07FF"/>
    <w:rsid w:val="00EE17A9"/>
    <w:rsid w:val="00EE513E"/>
    <w:rsid w:val="00EE5F41"/>
    <w:rsid w:val="00EF0882"/>
    <w:rsid w:val="00EF37F8"/>
    <w:rsid w:val="00EF38D5"/>
    <w:rsid w:val="00EF4532"/>
    <w:rsid w:val="00F001F3"/>
    <w:rsid w:val="00F00F07"/>
    <w:rsid w:val="00F021FA"/>
    <w:rsid w:val="00F024B3"/>
    <w:rsid w:val="00F04AB8"/>
    <w:rsid w:val="00F053B4"/>
    <w:rsid w:val="00F05E9D"/>
    <w:rsid w:val="00F06733"/>
    <w:rsid w:val="00F07519"/>
    <w:rsid w:val="00F07769"/>
    <w:rsid w:val="00F11641"/>
    <w:rsid w:val="00F12B19"/>
    <w:rsid w:val="00F1531F"/>
    <w:rsid w:val="00F168AD"/>
    <w:rsid w:val="00F16F63"/>
    <w:rsid w:val="00F20370"/>
    <w:rsid w:val="00F209DF"/>
    <w:rsid w:val="00F2292D"/>
    <w:rsid w:val="00F268AF"/>
    <w:rsid w:val="00F301FF"/>
    <w:rsid w:val="00F31DED"/>
    <w:rsid w:val="00F332BC"/>
    <w:rsid w:val="00F33F40"/>
    <w:rsid w:val="00F40EDE"/>
    <w:rsid w:val="00F42D18"/>
    <w:rsid w:val="00F44411"/>
    <w:rsid w:val="00F44890"/>
    <w:rsid w:val="00F471C4"/>
    <w:rsid w:val="00F50971"/>
    <w:rsid w:val="00F51A1E"/>
    <w:rsid w:val="00F53148"/>
    <w:rsid w:val="00F54ED8"/>
    <w:rsid w:val="00F56522"/>
    <w:rsid w:val="00F62F84"/>
    <w:rsid w:val="00F648AD"/>
    <w:rsid w:val="00F655C3"/>
    <w:rsid w:val="00F660C1"/>
    <w:rsid w:val="00F67439"/>
    <w:rsid w:val="00F736E7"/>
    <w:rsid w:val="00F741E2"/>
    <w:rsid w:val="00F76113"/>
    <w:rsid w:val="00F76E5E"/>
    <w:rsid w:val="00F7715C"/>
    <w:rsid w:val="00F870FD"/>
    <w:rsid w:val="00F9513D"/>
    <w:rsid w:val="00F96098"/>
    <w:rsid w:val="00FA4F6E"/>
    <w:rsid w:val="00FA5094"/>
    <w:rsid w:val="00FA5611"/>
    <w:rsid w:val="00FA5960"/>
    <w:rsid w:val="00FA6860"/>
    <w:rsid w:val="00FA6F7F"/>
    <w:rsid w:val="00FA7D8D"/>
    <w:rsid w:val="00FB267E"/>
    <w:rsid w:val="00FB55DC"/>
    <w:rsid w:val="00FB7ADE"/>
    <w:rsid w:val="00FB7EC9"/>
    <w:rsid w:val="00FC0DC5"/>
    <w:rsid w:val="00FC2A85"/>
    <w:rsid w:val="00FC37BD"/>
    <w:rsid w:val="00FC4432"/>
    <w:rsid w:val="00FC6BB9"/>
    <w:rsid w:val="00FD28A8"/>
    <w:rsid w:val="00FD2E27"/>
    <w:rsid w:val="00FD2E77"/>
    <w:rsid w:val="00FD4666"/>
    <w:rsid w:val="00FD53D4"/>
    <w:rsid w:val="00FD5662"/>
    <w:rsid w:val="00FD75BC"/>
    <w:rsid w:val="00FD76C9"/>
    <w:rsid w:val="00FD783E"/>
    <w:rsid w:val="00FD7BA3"/>
    <w:rsid w:val="00FD7E46"/>
    <w:rsid w:val="00FE0BFD"/>
    <w:rsid w:val="00FE0E40"/>
    <w:rsid w:val="00FE162C"/>
    <w:rsid w:val="00FE5A61"/>
    <w:rsid w:val="00FE7496"/>
    <w:rsid w:val="00FF0E3F"/>
    <w:rsid w:val="00FF44FA"/>
    <w:rsid w:val="00FF602D"/>
    <w:rsid w:val="0D750A10"/>
    <w:rsid w:val="1B617DBF"/>
    <w:rsid w:val="4A1B96B4"/>
    <w:rsid w:val="4DDE397F"/>
    <w:rsid w:val="6261FAF4"/>
    <w:rsid w:val="66E408F9"/>
    <w:rsid w:val="79F9137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4F6A3C81"/>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imes New Roman"/>
        <w:sz w:val="22"/>
        <w:szCs w:val="22"/>
        <w:lang w:val="de-DE" w:eastAsia="de-DE" w:bidi="de-DE"/>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widowControl w:val="0"/>
      <w:autoSpaceDE w:val="0"/>
      <w:autoSpaceDN w:val="0"/>
      <w:adjustRightInd w:val="0"/>
      <w:spacing w:after="0" w:line="240" w:lineRule="auto"/>
    </w:pPr>
    <w:rPr>
      <w:rFonts w:ascii="Tahoma" w:hAnsi="Tahoma" w:cs="Tahoma"/>
      <w:sz w:val="24"/>
      <w:szCs w:val="24"/>
    </w:rPr>
  </w:style>
  <w:style w:type="paragraph" w:styleId="Heading1">
    <w:name w:val="heading 1"/>
    <w:basedOn w:val="Normal"/>
    <w:next w:val="Normal"/>
    <w:link w:val="Heading1Char"/>
    <w:uiPriority w:val="99"/>
    <w:qFormat/>
    <w:pPr>
      <w:outlineLvl w:val="0"/>
    </w:pPr>
  </w:style>
  <w:style w:type="paragraph" w:styleId="Heading2">
    <w:name w:val="heading 2"/>
    <w:basedOn w:val="Normal"/>
    <w:next w:val="Normal"/>
    <w:link w:val="Heading2Char"/>
    <w:uiPriority w:val="99"/>
    <w:unhideWhenUsed/>
    <w:qFormat/>
    <w:rsid w:val="008D23A7"/>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Pr>
      <w:rFonts w:asciiTheme="majorHAnsi" w:eastAsiaTheme="majorEastAsia" w:hAnsiTheme="majorHAnsi" w:cs="Times New Roman"/>
      <w:b/>
      <w:bCs/>
      <w:kern w:val="32"/>
      <w:sz w:val="32"/>
      <w:szCs w:val="32"/>
    </w:rPr>
  </w:style>
  <w:style w:type="paragraph" w:styleId="BalloonText">
    <w:name w:val="Balloon Text"/>
    <w:basedOn w:val="Normal"/>
    <w:link w:val="BalloonTextChar"/>
    <w:uiPriority w:val="99"/>
    <w:semiHidden/>
    <w:unhideWhenUsed/>
    <w:rsid w:val="0001009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10094"/>
    <w:rPr>
      <w:rFonts w:ascii="Segoe UI" w:hAnsi="Segoe UI" w:cs="Segoe UI"/>
      <w:sz w:val="18"/>
      <w:szCs w:val="18"/>
    </w:rPr>
  </w:style>
  <w:style w:type="paragraph" w:styleId="Header">
    <w:name w:val="header"/>
    <w:basedOn w:val="Normal"/>
    <w:link w:val="HeaderChar"/>
    <w:uiPriority w:val="99"/>
    <w:unhideWhenUsed/>
    <w:rsid w:val="00FD75BC"/>
    <w:pPr>
      <w:tabs>
        <w:tab w:val="center" w:pos="4680"/>
        <w:tab w:val="right" w:pos="9360"/>
      </w:tabs>
    </w:pPr>
  </w:style>
  <w:style w:type="character" w:customStyle="1" w:styleId="HeaderChar">
    <w:name w:val="Header Char"/>
    <w:basedOn w:val="DefaultParagraphFont"/>
    <w:link w:val="Header"/>
    <w:uiPriority w:val="99"/>
    <w:rsid w:val="00FD75BC"/>
    <w:rPr>
      <w:rFonts w:ascii="Tahoma" w:hAnsi="Tahoma" w:cs="Tahoma"/>
      <w:sz w:val="24"/>
      <w:szCs w:val="24"/>
    </w:rPr>
  </w:style>
  <w:style w:type="paragraph" w:styleId="Footer">
    <w:name w:val="footer"/>
    <w:basedOn w:val="Normal"/>
    <w:link w:val="FooterChar"/>
    <w:uiPriority w:val="99"/>
    <w:unhideWhenUsed/>
    <w:rsid w:val="00FD75BC"/>
    <w:pPr>
      <w:tabs>
        <w:tab w:val="center" w:pos="4680"/>
        <w:tab w:val="right" w:pos="9360"/>
      </w:tabs>
    </w:pPr>
  </w:style>
  <w:style w:type="character" w:customStyle="1" w:styleId="FooterChar">
    <w:name w:val="Footer Char"/>
    <w:basedOn w:val="DefaultParagraphFont"/>
    <w:link w:val="Footer"/>
    <w:uiPriority w:val="99"/>
    <w:rsid w:val="00FD75BC"/>
    <w:rPr>
      <w:rFonts w:ascii="Tahoma" w:hAnsi="Tahoma" w:cs="Tahoma"/>
      <w:sz w:val="24"/>
      <w:szCs w:val="24"/>
    </w:rPr>
  </w:style>
  <w:style w:type="character" w:styleId="CommentReference">
    <w:name w:val="annotation reference"/>
    <w:basedOn w:val="DefaultParagraphFont"/>
    <w:uiPriority w:val="99"/>
    <w:semiHidden/>
    <w:unhideWhenUsed/>
    <w:rsid w:val="00FD2E77"/>
    <w:rPr>
      <w:sz w:val="16"/>
      <w:szCs w:val="16"/>
    </w:rPr>
  </w:style>
  <w:style w:type="paragraph" w:styleId="CommentText">
    <w:name w:val="annotation text"/>
    <w:basedOn w:val="Normal"/>
    <w:link w:val="CommentTextChar"/>
    <w:uiPriority w:val="99"/>
    <w:unhideWhenUsed/>
    <w:rsid w:val="00FD2E77"/>
    <w:rPr>
      <w:sz w:val="20"/>
      <w:szCs w:val="20"/>
    </w:rPr>
  </w:style>
  <w:style w:type="character" w:customStyle="1" w:styleId="CommentTextChar">
    <w:name w:val="Comment Text Char"/>
    <w:basedOn w:val="DefaultParagraphFont"/>
    <w:link w:val="CommentText"/>
    <w:uiPriority w:val="99"/>
    <w:rsid w:val="00FD2E77"/>
    <w:rPr>
      <w:rFonts w:ascii="Tahoma" w:hAnsi="Tahoma" w:cs="Tahoma"/>
      <w:sz w:val="20"/>
      <w:szCs w:val="20"/>
    </w:rPr>
  </w:style>
  <w:style w:type="paragraph" w:styleId="CommentSubject">
    <w:name w:val="annotation subject"/>
    <w:basedOn w:val="CommentText"/>
    <w:next w:val="CommentText"/>
    <w:link w:val="CommentSubjectChar"/>
    <w:uiPriority w:val="99"/>
    <w:semiHidden/>
    <w:unhideWhenUsed/>
    <w:rsid w:val="00FD2E77"/>
    <w:rPr>
      <w:b/>
      <w:bCs/>
    </w:rPr>
  </w:style>
  <w:style w:type="character" w:customStyle="1" w:styleId="CommentSubjectChar">
    <w:name w:val="Comment Subject Char"/>
    <w:basedOn w:val="CommentTextChar"/>
    <w:link w:val="CommentSubject"/>
    <w:uiPriority w:val="99"/>
    <w:semiHidden/>
    <w:rsid w:val="00FD2E77"/>
    <w:rPr>
      <w:rFonts w:ascii="Tahoma" w:hAnsi="Tahoma" w:cs="Tahoma"/>
      <w:b/>
      <w:bCs/>
      <w:sz w:val="20"/>
      <w:szCs w:val="20"/>
    </w:rPr>
  </w:style>
  <w:style w:type="character" w:styleId="Hyperlink">
    <w:name w:val="Hyperlink"/>
    <w:basedOn w:val="DefaultParagraphFont"/>
    <w:uiPriority w:val="99"/>
    <w:unhideWhenUsed/>
    <w:rsid w:val="000B4A39"/>
    <w:rPr>
      <w:color w:val="0563C1" w:themeColor="hyperlink"/>
      <w:u w:val="single"/>
    </w:rPr>
  </w:style>
  <w:style w:type="paragraph" w:styleId="ListParagraph">
    <w:name w:val="List Paragraph"/>
    <w:basedOn w:val="Normal"/>
    <w:uiPriority w:val="34"/>
    <w:qFormat/>
    <w:rsid w:val="000F011D"/>
    <w:pPr>
      <w:ind w:left="720"/>
      <w:contextualSpacing/>
    </w:pPr>
  </w:style>
  <w:style w:type="character" w:styleId="FollowedHyperlink">
    <w:name w:val="FollowedHyperlink"/>
    <w:basedOn w:val="DefaultParagraphFont"/>
    <w:uiPriority w:val="99"/>
    <w:semiHidden/>
    <w:unhideWhenUsed/>
    <w:rsid w:val="00300F14"/>
    <w:rPr>
      <w:color w:val="954F72" w:themeColor="followedHyperlink"/>
      <w:u w:val="single"/>
    </w:rPr>
  </w:style>
  <w:style w:type="character" w:customStyle="1" w:styleId="DeltaViewDeletion">
    <w:name w:val="DeltaView Deletion"/>
    <w:uiPriority w:val="99"/>
    <w:rsid w:val="009835FA"/>
    <w:rPr>
      <w:strike/>
      <w:color w:val="FF0000"/>
    </w:rPr>
  </w:style>
  <w:style w:type="character" w:customStyle="1" w:styleId="DeltaViewMoveDestination">
    <w:name w:val="DeltaView Move Destination"/>
    <w:uiPriority w:val="99"/>
    <w:rsid w:val="0063549B"/>
    <w:rPr>
      <w:color w:val="00C000"/>
      <w:u w:val="double"/>
    </w:rPr>
  </w:style>
  <w:style w:type="character" w:customStyle="1" w:styleId="UnresolvedMention1">
    <w:name w:val="Unresolved Mention1"/>
    <w:basedOn w:val="DefaultParagraphFont"/>
    <w:uiPriority w:val="99"/>
    <w:semiHidden/>
    <w:unhideWhenUsed/>
    <w:rsid w:val="00F56522"/>
    <w:rPr>
      <w:color w:val="808080"/>
      <w:shd w:val="clear" w:color="auto" w:fill="E6E6E6"/>
    </w:rPr>
  </w:style>
  <w:style w:type="paragraph" w:styleId="Revision">
    <w:name w:val="Revision"/>
    <w:hidden/>
    <w:uiPriority w:val="99"/>
    <w:semiHidden/>
    <w:rsid w:val="009729BB"/>
    <w:pPr>
      <w:spacing w:after="0" w:line="240" w:lineRule="auto"/>
    </w:pPr>
    <w:rPr>
      <w:rFonts w:ascii="Tahoma" w:hAnsi="Tahoma" w:cs="Tahoma"/>
      <w:sz w:val="24"/>
      <w:szCs w:val="24"/>
    </w:rPr>
  </w:style>
  <w:style w:type="character" w:customStyle="1" w:styleId="Heading2Char">
    <w:name w:val="Heading 2 Char"/>
    <w:basedOn w:val="DefaultParagraphFont"/>
    <w:link w:val="Heading2"/>
    <w:uiPriority w:val="99"/>
    <w:rsid w:val="008D23A7"/>
    <w:rPr>
      <w:rFonts w:asciiTheme="majorHAnsi" w:eastAsiaTheme="majorEastAsia" w:hAnsiTheme="majorHAnsi" w:cstheme="majorBidi"/>
      <w:color w:val="2E74B5" w:themeColor="accent1" w:themeShade="BF"/>
      <w:sz w:val="26"/>
      <w:szCs w:val="26"/>
    </w:rPr>
  </w:style>
  <w:style w:type="paragraph" w:customStyle="1" w:styleId="Footnote">
    <w:name w:val="Footnote"/>
    <w:basedOn w:val="Normal"/>
    <w:rsid w:val="008D23A7"/>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8D23A7"/>
    <w:rPr>
      <w:rFonts w:ascii="Tahoma" w:eastAsia="SimSun" w:hAnsi="Tahoma" w:cs="Tahoma"/>
      <w:b/>
      <w:bCs/>
      <w:sz w:val="28"/>
      <w:szCs w:val="28"/>
    </w:rPr>
  </w:style>
  <w:style w:type="paragraph" w:customStyle="1" w:styleId="LicenseNumberChar">
    <w:name w:val="License Number Char"/>
    <w:basedOn w:val="Normal"/>
    <w:link w:val="LicenseNumberCharChar"/>
    <w:rsid w:val="008D23A7"/>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8D23A7"/>
    <w:rPr>
      <w:rFonts w:ascii="Tahoma" w:eastAsia="MS Mincho" w:hAnsi="Tahoma" w:cs="Tahoma"/>
      <w:b/>
      <w:sz w:val="18"/>
      <w:szCs w:val="18"/>
    </w:rPr>
  </w:style>
  <w:style w:type="paragraph" w:customStyle="1" w:styleId="LicenseNumSuper">
    <w:name w:val="License Num Super"/>
    <w:basedOn w:val="Normal"/>
    <w:link w:val="LicenseNumSuperChar"/>
    <w:rsid w:val="008D23A7"/>
    <w:pPr>
      <w:widowControl/>
      <w:autoSpaceDE/>
      <w:autoSpaceDN/>
      <w:adjustRightInd/>
      <w:spacing w:before="120"/>
    </w:pPr>
    <w:rPr>
      <w:rFonts w:eastAsia="MS Mincho"/>
      <w:b/>
      <w:sz w:val="18"/>
      <w:szCs w:val="18"/>
    </w:rPr>
  </w:style>
  <w:style w:type="character" w:customStyle="1" w:styleId="LogoportMarkup">
    <w:name w:val="LogoportMarkup"/>
    <w:basedOn w:val="DefaultParagraphFont"/>
    <w:rsid w:val="00583E0B"/>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583E0B"/>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545650">
      <w:bodyDiv w:val="1"/>
      <w:marLeft w:val="0"/>
      <w:marRight w:val="0"/>
      <w:marTop w:val="0"/>
      <w:marBottom w:val="0"/>
      <w:divBdr>
        <w:top w:val="none" w:sz="0" w:space="0" w:color="auto"/>
        <w:left w:val="none" w:sz="0" w:space="0" w:color="auto"/>
        <w:bottom w:val="none" w:sz="0" w:space="0" w:color="auto"/>
        <w:right w:val="none" w:sz="0" w:space="0" w:color="auto"/>
      </w:divBdr>
    </w:div>
    <w:div w:id="109974642">
      <w:bodyDiv w:val="1"/>
      <w:marLeft w:val="0"/>
      <w:marRight w:val="0"/>
      <w:marTop w:val="0"/>
      <w:marBottom w:val="0"/>
      <w:divBdr>
        <w:top w:val="none" w:sz="0" w:space="0" w:color="auto"/>
        <w:left w:val="none" w:sz="0" w:space="0" w:color="auto"/>
        <w:bottom w:val="none" w:sz="0" w:space="0" w:color="auto"/>
        <w:right w:val="none" w:sz="0" w:space="0" w:color="auto"/>
      </w:divBdr>
    </w:div>
    <w:div w:id="318732238">
      <w:bodyDiv w:val="1"/>
      <w:marLeft w:val="0"/>
      <w:marRight w:val="0"/>
      <w:marTop w:val="0"/>
      <w:marBottom w:val="0"/>
      <w:divBdr>
        <w:top w:val="none" w:sz="0" w:space="0" w:color="auto"/>
        <w:left w:val="none" w:sz="0" w:space="0" w:color="auto"/>
        <w:bottom w:val="none" w:sz="0" w:space="0" w:color="auto"/>
        <w:right w:val="none" w:sz="0" w:space="0" w:color="auto"/>
      </w:divBdr>
    </w:div>
    <w:div w:id="670570721">
      <w:bodyDiv w:val="1"/>
      <w:marLeft w:val="0"/>
      <w:marRight w:val="0"/>
      <w:marTop w:val="0"/>
      <w:marBottom w:val="0"/>
      <w:divBdr>
        <w:top w:val="none" w:sz="0" w:space="0" w:color="auto"/>
        <w:left w:val="none" w:sz="0" w:space="0" w:color="auto"/>
        <w:bottom w:val="none" w:sz="0" w:space="0" w:color="auto"/>
        <w:right w:val="none" w:sz="0" w:space="0" w:color="auto"/>
      </w:divBdr>
    </w:div>
    <w:div w:id="829948398">
      <w:bodyDiv w:val="1"/>
      <w:marLeft w:val="0"/>
      <w:marRight w:val="0"/>
      <w:marTop w:val="0"/>
      <w:marBottom w:val="0"/>
      <w:divBdr>
        <w:top w:val="none" w:sz="0" w:space="0" w:color="auto"/>
        <w:left w:val="none" w:sz="0" w:space="0" w:color="auto"/>
        <w:bottom w:val="none" w:sz="0" w:space="0" w:color="auto"/>
        <w:right w:val="none" w:sz="0" w:space="0" w:color="auto"/>
      </w:divBdr>
    </w:div>
    <w:div w:id="1147240383">
      <w:bodyDiv w:val="1"/>
      <w:marLeft w:val="0"/>
      <w:marRight w:val="0"/>
      <w:marTop w:val="0"/>
      <w:marBottom w:val="0"/>
      <w:divBdr>
        <w:top w:val="none" w:sz="0" w:space="0" w:color="auto"/>
        <w:left w:val="none" w:sz="0" w:space="0" w:color="auto"/>
        <w:bottom w:val="none" w:sz="0" w:space="0" w:color="auto"/>
        <w:right w:val="none" w:sz="0" w:space="0" w:color="auto"/>
      </w:divBdr>
    </w:div>
    <w:div w:id="1150177139">
      <w:bodyDiv w:val="1"/>
      <w:marLeft w:val="0"/>
      <w:marRight w:val="0"/>
      <w:marTop w:val="0"/>
      <w:marBottom w:val="0"/>
      <w:divBdr>
        <w:top w:val="none" w:sz="0" w:space="0" w:color="auto"/>
        <w:left w:val="none" w:sz="0" w:space="0" w:color="auto"/>
        <w:bottom w:val="none" w:sz="0" w:space="0" w:color="auto"/>
        <w:right w:val="none" w:sz="0" w:space="0" w:color="auto"/>
      </w:divBdr>
    </w:div>
    <w:div w:id="1198851664">
      <w:bodyDiv w:val="1"/>
      <w:marLeft w:val="0"/>
      <w:marRight w:val="0"/>
      <w:marTop w:val="0"/>
      <w:marBottom w:val="0"/>
      <w:divBdr>
        <w:top w:val="none" w:sz="0" w:space="0" w:color="auto"/>
        <w:left w:val="none" w:sz="0" w:space="0" w:color="auto"/>
        <w:bottom w:val="none" w:sz="0" w:space="0" w:color="auto"/>
        <w:right w:val="none" w:sz="0" w:space="0" w:color="auto"/>
      </w:divBdr>
    </w:div>
    <w:div w:id="1338386813">
      <w:bodyDiv w:val="1"/>
      <w:marLeft w:val="0"/>
      <w:marRight w:val="0"/>
      <w:marTop w:val="0"/>
      <w:marBottom w:val="0"/>
      <w:divBdr>
        <w:top w:val="none" w:sz="0" w:space="0" w:color="auto"/>
        <w:left w:val="none" w:sz="0" w:space="0" w:color="auto"/>
        <w:bottom w:val="none" w:sz="0" w:space="0" w:color="auto"/>
        <w:right w:val="none" w:sz="0" w:space="0" w:color="auto"/>
      </w:divBdr>
    </w:div>
    <w:div w:id="1628778673">
      <w:bodyDiv w:val="1"/>
      <w:marLeft w:val="0"/>
      <w:marRight w:val="0"/>
      <w:marTop w:val="0"/>
      <w:marBottom w:val="0"/>
      <w:divBdr>
        <w:top w:val="none" w:sz="0" w:space="0" w:color="auto"/>
        <w:left w:val="none" w:sz="0" w:space="0" w:color="auto"/>
        <w:bottom w:val="none" w:sz="0" w:space="0" w:color="auto"/>
        <w:right w:val="none" w:sz="0" w:space="0" w:color="auto"/>
      </w:divBdr>
    </w:div>
    <w:div w:id="1879928265">
      <w:bodyDiv w:val="1"/>
      <w:marLeft w:val="0"/>
      <w:marRight w:val="0"/>
      <w:marTop w:val="0"/>
      <w:marBottom w:val="0"/>
      <w:divBdr>
        <w:top w:val="none" w:sz="0" w:space="0" w:color="auto"/>
        <w:left w:val="none" w:sz="0" w:space="0" w:color="auto"/>
        <w:bottom w:val="none" w:sz="0" w:space="0" w:color="auto"/>
        <w:right w:val="none" w:sz="0" w:space="0" w:color="auto"/>
      </w:divBdr>
    </w:div>
    <w:div w:id="1989166001">
      <w:bodyDiv w:val="1"/>
      <w:marLeft w:val="0"/>
      <w:marRight w:val="0"/>
      <w:marTop w:val="0"/>
      <w:marBottom w:val="0"/>
      <w:divBdr>
        <w:top w:val="none" w:sz="0" w:space="0" w:color="auto"/>
        <w:left w:val="none" w:sz="0" w:space="0" w:color="auto"/>
        <w:bottom w:val="none" w:sz="0" w:space="0" w:color="auto"/>
        <w:right w:val="none" w:sz="0" w:space="0" w:color="auto"/>
      </w:divBdr>
    </w:div>
    <w:div w:id="2073893686">
      <w:bodyDiv w:val="1"/>
      <w:marLeft w:val="0"/>
      <w:marRight w:val="0"/>
      <w:marTop w:val="0"/>
      <w:marBottom w:val="0"/>
      <w:divBdr>
        <w:top w:val="none" w:sz="0" w:space="0" w:color="auto"/>
        <w:left w:val="none" w:sz="0" w:space="0" w:color="auto"/>
        <w:bottom w:val="none" w:sz="0" w:space="0" w:color="auto"/>
        <w:right w:val="none" w:sz="0" w:space="0" w:color="auto"/>
      </w:divBdr>
    </w:div>
    <w:div w:id="2099448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ka.ms/msa" TargetMode="External"/><Relationship Id="rId13" Type="http://schemas.openxmlformats.org/officeDocument/2006/relationships/hyperlink" Target="https://aka.ms/acl" TargetMode="External"/><Relationship Id="rId18" Type="http://schemas.openxmlformats.org/officeDocument/2006/relationships/theme" Target="theme/theme1.xml"/><Relationship Id="rId3" Type="http://schemas.openxmlformats.org/officeDocument/2006/relationships/styles" Target="styles.xml"/><Relationship Id="rId21" Type="http://schemas.openxmlformats.org/officeDocument/2006/relationships/customXml" Target="../customXml/item4.xml"/><Relationship Id="rId7" Type="http://schemas.openxmlformats.org/officeDocument/2006/relationships/endnotes" Target="endnotes.xml"/><Relationship Id="rId12" Type="http://schemas.openxmlformats.org/officeDocument/2006/relationships/hyperlink" Target="https://aka.ms/arbitration"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aka.ms/adr" TargetMode="External"/><Relationship Id="rId5" Type="http://schemas.openxmlformats.org/officeDocument/2006/relationships/webSettings" Target="webSettings.xml"/><Relationship Id="rId15" Type="http://schemas.openxmlformats.org/officeDocument/2006/relationships/hyperlink" Target="https://aka.ms/msa" TargetMode="External"/><Relationship Id="rId10" Type="http://schemas.openxmlformats.org/officeDocument/2006/relationships/hyperlink" Target="https://aka.ms/exporting" TargetMode="External"/><Relationship Id="rId19"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hyperlink" Target="https://aka.ms/privacy" TargetMode="External"/><Relationship Id="rId14" Type="http://schemas.openxmlformats.org/officeDocument/2006/relationships/hyperlink" Target="https://aka.ms/privac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6bb91d315aa9db1ff889e9d7ae87b910">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fb01e81484f851d0d7b5e065d885e627"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09CA2057-98BD-41AD-B5EF-A59B2145BD87}">
  <ds:schemaRefs>
    <ds:schemaRef ds:uri="http://schemas.openxmlformats.org/officeDocument/2006/bibliography"/>
  </ds:schemaRefs>
</ds:datastoreItem>
</file>

<file path=customXml/itemProps2.xml><?xml version="1.0" encoding="utf-8"?>
<ds:datastoreItem xmlns:ds="http://schemas.openxmlformats.org/officeDocument/2006/customXml" ds:itemID="{121C271E-B814-44D5-A696-8F1EDB80933E}"/>
</file>

<file path=customXml/itemProps3.xml><?xml version="1.0" encoding="utf-8"?>
<ds:datastoreItem xmlns:ds="http://schemas.openxmlformats.org/officeDocument/2006/customXml" ds:itemID="{90AAD573-07F5-4866-8FB3-D52C99FD913C}"/>
</file>

<file path=customXml/itemProps4.xml><?xml version="1.0" encoding="utf-8"?>
<ds:datastoreItem xmlns:ds="http://schemas.openxmlformats.org/officeDocument/2006/customXml" ds:itemID="{140A70B9-EDB0-4E9B-82C2-CABF86F3B421}"/>
</file>

<file path=docProps/app.xml><?xml version="1.0" encoding="utf-8"?>
<Properties xmlns="http://schemas.openxmlformats.org/officeDocument/2006/extended-properties" xmlns:vt="http://schemas.openxmlformats.org/officeDocument/2006/docPropsVTypes">
  <Template>Normal</Template>
  <TotalTime>0</TotalTime>
  <Pages>9</Pages>
  <Words>5050</Words>
  <Characters>28785</Characters>
  <Application>Microsoft Office Word</Application>
  <DocSecurity>0</DocSecurity>
  <Lines>239</Lines>
  <Paragraphs>67</Paragraphs>
  <ScaleCrop>false</ScaleCrop>
  <Company/>
  <LinksUpToDate>false</LinksUpToDate>
  <CharactersWithSpaces>33768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2018-09-21T18:28:00Z</dcterms:created>
  <dcterms:modified xsi:type="dcterms:W3CDTF">2018-09-21T18:28:00Z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